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36"/>
          <w:szCs w:val="34"/>
        </w:rPr>
      </w:pPr>
      <w:r/>
      <w:bookmarkStart w:id="0" w:name="_GoBack"/>
      <w:r/>
      <w:bookmarkEnd w:id="0"/>
      <w:r/>
      <w:r>
        <w:rPr>
          <w:sz w:val="36"/>
          <w:szCs w:val="3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tbl>
      <w:tblPr>
        <w:tblW w:w="0" w:type="auto"/>
        <w:tblInd w:w="2235" w:type="dxa"/>
        <w:tblLook w:val="01E0" w:firstRow="1" w:lastRow="1" w:firstColumn="1" w:lastColumn="1" w:noHBand="0" w:noVBand="0"/>
      </w:tblPr>
      <w:tblGrid>
        <w:gridCol w:w="3273"/>
        <w:gridCol w:w="197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7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октября 2025 года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97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463-рп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основных направлениях налоговой, бюджетной и долговой</w:t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политики Ханты-Мансийского автономного округа – Югры, характеристиках бюджета Ханты-Мансийского автономного </w:t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округа – Югры на 2026 год и на плановый период </w:t>
      </w:r>
      <w:r>
        <w:rPr>
          <w:b/>
          <w:bCs/>
          <w:sz w:val="28"/>
          <w:szCs w:val="28"/>
        </w:rPr>
      </w:r>
    </w:p>
    <w:p>
      <w:pPr>
        <w:jc w:val="center"/>
        <w:widowControl w:val="off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2027 и 2028 годов</w:t>
      </w:r>
      <w:r>
        <w:rPr>
          <w:bCs/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</w:rPr>
        <w:t xml:space="preserve">В соответствии с Законом Ханты-Мансийского автономного </w:t>
      </w:r>
      <w:r>
        <w:rPr>
          <w:sz w:val="28"/>
          <w:szCs w:val="28"/>
        </w:rPr>
        <w:br/>
        <w:t xml:space="preserve">округа – Югры от 20 июл</w:t>
      </w:r>
      <w:r>
        <w:rPr>
          <w:sz w:val="28"/>
          <w:szCs w:val="28"/>
        </w:rPr>
        <w:t xml:space="preserve">я 2007 года № 99-оз «Об отдельных вопросах организации и осуществления бюджетного процесса в Ханты-Мансийском автономном округе – Югре», постановлением Правительства </w:t>
      </w:r>
      <w:r>
        <w:rPr>
          <w:sz w:val="28"/>
          <w:szCs w:val="28"/>
        </w:rPr>
        <w:br/>
        <w:t xml:space="preserve">Ханты-Мансийского автономного округа – Югры от 30 апреля 2014 года № 154-п «О Порядке сос</w:t>
      </w:r>
      <w:r>
        <w:rPr>
          <w:sz w:val="28"/>
          <w:szCs w:val="28"/>
        </w:rPr>
        <w:t xml:space="preserve">тавления проекта закона о бюджете Ханты-Мансийского автономного округа – Югры и проекта закона о бюджете территориального фонда обязательного медицинского страхования Ханты-Мансийского автономного округа – Югры на очередной финансовый год и плановый период</w:t>
      </w:r>
      <w:r>
        <w:rPr>
          <w:sz w:val="28"/>
          <w:szCs w:val="28"/>
        </w:rPr>
        <w:t xml:space="preserve">»,</w:t>
      </w:r>
      <w:r>
        <w:rPr>
          <w:rFonts w:eastAsia="Courier New"/>
          <w:sz w:val="28"/>
          <w:szCs w:val="28"/>
        </w:rPr>
        <w:t xml:space="preserve"> учитывая решения комиссии по бюджетным проектировкам на 2026 год и на плановый период 2027 и 2028 годов (протоколы заседаний от 6 августа 2025 года № 2, от 6 октября 2025 года № 3), Общественного совета при Департаменте финансов Ханты-Мансийского автоно</w:t>
      </w:r>
      <w:r>
        <w:rPr>
          <w:rFonts w:eastAsia="Courier New"/>
          <w:sz w:val="28"/>
          <w:szCs w:val="28"/>
        </w:rPr>
        <w:t xml:space="preserve">много округа – Югры (протокол заседания </w:t>
      </w:r>
      <w:r>
        <w:rPr>
          <w:rFonts w:eastAsia="Courier New"/>
          <w:sz w:val="28"/>
          <w:szCs w:val="28"/>
        </w:rPr>
        <w:br/>
        <w:t xml:space="preserve">от 13 октября 2025 года № 17)</w:t>
      </w:r>
      <w:r>
        <w:rPr>
          <w:sz w:val="28"/>
          <w:szCs w:val="28"/>
        </w:rPr>
        <w:t xml:space="preserve">:</w:t>
      </w:r>
      <w:r>
        <w:rPr>
          <w:rFonts w:eastAsia="Courier New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 Одобрить:</w:t>
      </w:r>
      <w:r>
        <w:rPr>
          <w:sz w:val="28"/>
          <w:szCs w:val="28"/>
        </w:rPr>
      </w:r>
    </w:p>
    <w:p>
      <w:pPr>
        <w:numPr>
          <w:ilvl w:val="1"/>
          <w:numId w:val="2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сновные направления налоговой, бюджетной и долговой политики </w:t>
      </w:r>
      <w:r>
        <w:rPr>
          <w:sz w:val="28"/>
          <w:szCs w:val="28"/>
        </w:rPr>
        <w:t xml:space="preserve">Ханты-Мансийского автономного округа – Югры на 2026 год и на плановый период 2027 и 2028 годов (приложение 1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</w:p>
    <w:p>
      <w:pPr>
        <w:numPr>
          <w:ilvl w:val="1"/>
          <w:numId w:val="2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Характеристики бюджета Ханты-Мансийского автономного округа – Югры на 2026 год и на плановый период 2027 и 2028 годов (приложение 2).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Исполнительным органам Ханты-Мансийского автономного </w:t>
      </w:r>
      <w:r>
        <w:rPr>
          <w:sz w:val="28"/>
          <w:szCs w:val="28"/>
        </w:rPr>
        <w:br/>
        <w:t xml:space="preserve">округа – Югры руководствоваться основными направлениями налого</w:t>
      </w:r>
      <w:r>
        <w:rPr>
          <w:sz w:val="28"/>
          <w:szCs w:val="28"/>
        </w:rPr>
        <w:t xml:space="preserve">вой, бюджетной и долговой политики Ханты-Мансийского автономного округа – Югры на 2026 год и на плановый период 2027 и 2028 годов.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органам местного самоуправления муниципальных образований Ханты-Мансийского автономного округа – Югры руков</w:t>
      </w:r>
      <w:r>
        <w:rPr>
          <w:sz w:val="28"/>
          <w:szCs w:val="28"/>
        </w:rPr>
        <w:t xml:space="preserve">одствоваться основными направлениями налоговой, бюджетной и долговой политики Ханты-Мансийского автономного округа – Югры на 2026 год и на плановый период 2027 и 2028 годов.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Направить настоящее распоряжение в Думу Ханты-Мансийского автономного округа –</w:t>
      </w:r>
      <w:r>
        <w:rPr>
          <w:sz w:val="28"/>
          <w:szCs w:val="28"/>
        </w:rPr>
        <w:t xml:space="preserve"> Югры.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Югры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Р.Н.Кухарук 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ind w:firstLine="709"/>
        <w:jc w:val="center"/>
        <w:rPr>
          <w:b w:val="0"/>
        </w:rPr>
      </w:pPr>
      <w:r>
        <w:rPr>
          <w:b w:val="0"/>
        </w:rPr>
        <w:br w:type="page" w:clear="all"/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Приложение 1</w:t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к распоряжению Правительства</w:t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Ханты-Мансийского</w:t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автономного округа – Югры</w:t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от 14 октября 2025 года № 463-рп</w:t>
      </w:r>
      <w:r>
        <w:rPr>
          <w:b w:val="0"/>
        </w:rPr>
      </w:r>
    </w:p>
    <w:p>
      <w:pPr>
        <w:ind w:firstLine="709"/>
        <w:jc w:val="center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Основные направления налоговой, бюджетной и долговой политики Ханты-Мансийского автономного округа – Югры на 2026 год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на плановый период 2027 и 2028 годов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Основные направления налоговой, бюджетной и долговой политики Ханты-Мансийского автономного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Югры на 2026 год и на плановый период 2027 и 2028 годов (далее также – автономный округ, основные направления налоговой, бюджетной и долговой политики автономного округа на 2026 – 2028 годы) разработаны в соответствии со статьей 172 Бюджетного кодекса Р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оссийской Федерации, с учетом Послания Президента Российской Федерации Федеральному Собранию Российской Федерации от 29 февраля 2024 года, указов Президента Российской Федерации от 7 мая 2012 года № 597 «О мероприятиях по реализации государственной социаль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ной политики» (далее – Указ № 597), от 1 июня 2012 года № 761 «О Национальной стратегии действий в интересах детей на 2012 – 2017 годы» (далее – Указ № 761), от 28 декабря 2012 года № 1688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«О некоторых мерах по реализации государственной политики в сфере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защиты детей-сирот и детей, оставшихся без попечения родителей»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(далее – Указ № 1688), от 26 октября 2020 года № 645 «О Стратегии развития Арктической зоны Российской Федерации и обеспечения национальной безопасности на период до 2035 года», от 7 мая 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№ 309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«О национальных целях развития Российской Федерации на период до 2030 года и на перспективу до 2036 года» (далее – Указ № 309), от 28 ноября 2024 года № 1014 «Об оценке эффективности деятельности высших должностных лиц субъектов Российской Фед</w:t>
      </w:r>
      <w:r>
        <w:rPr>
          <w:rFonts w:ascii="Times New Roman" w:hAnsi="Times New Roman" w:cs="Times New Roman"/>
          <w:bCs/>
          <w:sz w:val="28"/>
          <w:szCs w:val="28"/>
        </w:rPr>
        <w:t xml:space="preserve">ерации и деятельности исполнительных органов субъектов Российской Федерации», Послания Губернатора автономного округа о положении дел и перспективах развития автономного округа от 24 декабря 2024 года (далее – послание Губернатора автономного округа), Стра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тегии социально-экономического развития автономного округа до 2036 года с целевыми ориентирами до 2050 года, утвержденной распоряжением Правительства автономного округа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от 3 ноября 2022 года № 679-рп, Стратегии цифровой трансформации автономного округа, у</w:t>
      </w:r>
      <w:r>
        <w:rPr>
          <w:rFonts w:ascii="Times New Roman" w:hAnsi="Times New Roman" w:cs="Times New Roman"/>
          <w:bCs/>
          <w:sz w:val="28"/>
          <w:szCs w:val="28"/>
        </w:rPr>
        <w:t xml:space="preserve">твержденной распоряжением Правительства автономного округа от 2 июля 2021 года № 359-рп.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Целью разработки основных направлений налоговой, бюджетной и долговой политики автономного округа на 2026 – 2028 годы является определение условий, используемых при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оставлении проекта бюджета автономного округа на 2026 год и на плановый период 2027 и 2028 годов,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подходов к формированию на ближайший трехлетний период его основных характеристик.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основу разработки основных направлений налоговой, бюджетной и долговой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олитики автономного округа на 2026 – 2028 годы принят базовый вариант сценарных условий прогноза социально-экономического развития автономного округа на 2026 год и на плановый период 2027 и 2028 годов.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Раздел I. Основные направления налоговой политики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Хан</w:t>
      </w:r>
      <w:r>
        <w:rPr>
          <w:rFonts w:ascii="Times New Roman" w:hAnsi="Times New Roman" w:cs="Times New Roman"/>
          <w:bCs/>
          <w:sz w:val="28"/>
          <w:szCs w:val="28"/>
        </w:rPr>
        <w:t xml:space="preserve">ты-Мансийского автономного округа – Югры на 2026 год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на плановый период 2027 и 2028 годов, основные подходы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ее формированию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Основные направления налоговой политики автономного округа в предыдущих периодах формировались в условиях проведения масштабной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модернизации налоговой системы на федеральном уровне, основанной на принципах справедливости, предсказуемости и стабильности, при которой должны быть учтены интересы граждан, бизнеса и государства.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региональном уровне также была осуществлена комплексна</w:t>
      </w:r>
      <w:r>
        <w:rPr>
          <w:rFonts w:ascii="Times New Roman" w:hAnsi="Times New Roman" w:cs="Times New Roman"/>
          <w:bCs/>
          <w:sz w:val="28"/>
          <w:szCs w:val="28"/>
        </w:rPr>
        <w:t xml:space="preserve">я и систематическая работа по настройке налогового законодательства автономного округа. В результате данной деятельности принят ряд существенных и значимых изменений, направленных на оптимизацию налоговой политики и повышение эффективности налогового админ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истрирования.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2024 году комплекс мероприятий налогового регулирования был направлен на формирование благоприятных условий для устойчивого социально-экономического развития региона. Основной акцент сделан на обеспечение долгосрочной сбалансированности ко</w:t>
      </w:r>
      <w:r>
        <w:rPr>
          <w:rFonts w:ascii="Times New Roman" w:hAnsi="Times New Roman" w:cs="Times New Roman"/>
          <w:bCs/>
          <w:sz w:val="28"/>
          <w:szCs w:val="28"/>
        </w:rPr>
        <w:t xml:space="preserve">нсолидированного бюджета автономного округа, что является ключевым принципом ответственной бюджетной политики. Кроме того, сформирована благоприятная налоговая среда для развития малого и среднего предпринимательства в стратегически значимых для экономики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автономного округа сферах деятельности. Также была усилена стимулирующая роль налоговой системы, направленная на повышение инвестиционной активности.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Эти меры способствовали созданию благоприятных условий для экономического роста, обеспечивая при этом фина</w:t>
      </w:r>
      <w:r>
        <w:rPr>
          <w:rFonts w:ascii="Times New Roman" w:hAnsi="Times New Roman" w:cs="Times New Roman"/>
          <w:bCs/>
          <w:sz w:val="28"/>
          <w:szCs w:val="28"/>
        </w:rPr>
        <w:t xml:space="preserve">нсовую стабильность региона. В результате была достигнута интеграция между налоговыми инструментами и стратегическими целями развития, что позволило повысить эффективность использования бюджетных ресурсов и стимулировать инвестиционную деятельность.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конт</w:t>
      </w:r>
      <w:r>
        <w:rPr>
          <w:rFonts w:ascii="Times New Roman" w:hAnsi="Times New Roman" w:cs="Times New Roman"/>
          <w:bCs/>
          <w:sz w:val="28"/>
          <w:szCs w:val="28"/>
        </w:rPr>
        <w:t xml:space="preserve">ексте анализа финансовой устойчивости регионов Российской Федерации автономный округ продолжает демонстрировать показатели роста налоговых поступлений в консолидированный бюджет страны. Благодаря устойчивому экономическому развитию и эффективной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налоговой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политике автономный округ на протяжении нескольких лет стабильно занимает второе место по объему поступлений в консолидированный бюджет Российской Федерации.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Основными источниками формирования налоговых доходов регионального бюджета по-прежнему остаются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лог на прибыль организаций – 41,7 %, налоги на имущество – 28,9 %, налог на доходы физических лиц – 24,3 %.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 этим в качестве ключевого механизма налогового стимулирования в автономном округе используются следующие инструменты: установление налогов</w:t>
      </w:r>
      <w:r>
        <w:rPr>
          <w:rFonts w:ascii="Times New Roman" w:hAnsi="Times New Roman" w:cs="Times New Roman"/>
          <w:bCs/>
          <w:sz w:val="28"/>
          <w:szCs w:val="28"/>
        </w:rPr>
        <w:t xml:space="preserve">ых льгот и дифференцированных налоговых ставок по налогам, зачисляемым в региональный бюджет, введение инвестиционного налогового вычета по налогу на прибыль организаций.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данных мер налогового стимулирования способствовала запуску значимых инвес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тиционных проектов, включая новые инициативы резидентов особой экономической зоны «Нягань» и Арктической зоны Российской Федерации, а также росту предпринимательской активности в регионе.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итогам 2024 года количество зарегистрированных в регионе субъектов малого и среднего предпринимательства составило 64,3 тысяч единиц (рост к 2023 году на 3,4 %). Численность занятых в сфере малого и среднего предпринимательства по итогам 2024 года соста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вила 269,2 тысяч человек и увеличилась по сравнению с 2023 годом на 8,4 %.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Объем налоговых поступлений от применения упрощенной системы налогообложения в 2024 году увеличился по сравнению с аналогичными показателями 2023 года на 43,1 % или на 3,1 млрд рубл</w:t>
      </w:r>
      <w:r>
        <w:rPr>
          <w:rFonts w:ascii="Times New Roman" w:hAnsi="Times New Roman" w:cs="Times New Roman"/>
          <w:bCs/>
          <w:sz w:val="28"/>
          <w:szCs w:val="28"/>
        </w:rPr>
        <w:t xml:space="preserve">ей и составил 10,4 млрд рублей.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Также на территории автономного округа продолжает функционировать специальный налоговый режим «Налог на профессиональный доход», предоставляющий физическим лицам, осуществляющим профессиональную деятельность без привлечения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наёмных работников, возможность легализовать свою предпринимательскую деятельность с минимальными налоговыми издержками и вести её в дальнейшем в упрощённом порядке. По итогам 2024 года количество зарегистрированных самозанятых граждан составило 130 тысяч </w:t>
      </w:r>
      <w:r>
        <w:rPr>
          <w:rFonts w:ascii="Times New Roman" w:hAnsi="Times New Roman" w:cs="Times New Roman"/>
          <w:bCs/>
          <w:sz w:val="28"/>
          <w:szCs w:val="28"/>
        </w:rPr>
        <w:t xml:space="preserve">человек, что практически в два раза превышает показатель 2022 года. Отмечается устойчивая тенденция к дальнейшему росту числа самозанятых.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Сохраняется бюджетная эффективность налоговых преференций, предоставленных организациям, реализующим стратегические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приоритетные инвестиционные проекты.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результатам проведенной оценки эффективности налоговых расходов автономного округа, обусловленных региональными налоговыми льготами, предоставленными в 2024 году, установлено, что значительная </w:t>
      </w:r>
      <w:r>
        <w:rPr>
          <w:rFonts w:ascii="Times New Roman" w:hAnsi="Times New Roman" w:cs="Times New Roman"/>
          <w:bCs/>
          <w:sz w:val="28"/>
          <w:szCs w:val="28"/>
        </w:rPr>
        <w:t xml:space="preserve">часть этих расходов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иходится на льготы инвестиционного характера – 28,3 млрд рублей, или 76 % от общей суммы налоговых льгот, которая составила 37,1 млрд рублей.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Эффект от использования финансовых ресурсов, высвобожденных в результате применения налоговых льгот, выражается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количестве введенного в эксплуатацию нового оборудования, объектов производственного назначения и новых производственных мощностей.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В 2024 году было введено в действие 9 719 единиц нового оборудования и объектов производственного назначения, а также осуще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ствлено строительство, реконструкция и модернизация 1 945 единиц основных производственных фондов.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Дальнейшее инвестиционное развитие автономного округа будет также обеспечено мерами государственной поддержки в сфере налогообложения. Налоговые преференции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продолжат действовать для организаций, реализующих инвестиционные проекты, управляющих компаний промышленных парков регионального значения, резидентов Арктической зоны и особой экономической зоны «Нягань».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Также ключевыми позициями остаются оказание мер г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осударственной поддержки приоритетных отраслей экономики и субъектов малого и среднего бизнеса, улучшение качества администрирования доходных источников, продолжение политики обоснованности и эффективности применения налоговых льгот.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контексте стратегиче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ских задач, определенных Президентом Российской Федерации, а также в соответствии с приоритетами федеральной налоговой политики налоговая политика автономного округа на среднесрочную перспективу ориентирована на достижение национальных целей развития Росси</w:t>
      </w:r>
      <w:r>
        <w:rPr>
          <w:rFonts w:ascii="Times New Roman" w:hAnsi="Times New Roman" w:cs="Times New Roman"/>
          <w:bCs/>
          <w:sz w:val="28"/>
          <w:szCs w:val="28"/>
        </w:rPr>
        <w:t xml:space="preserve">йской Федерации. Основной акцент делается на обеспечение сбалансированности и устойчивости бюджетной системы, создание стабильных и предсказуемых налоговых условий для привлечения долгосрочных инвестиций, а также повышение эффективности стимулирующей функц</w:t>
      </w:r>
      <w:r>
        <w:rPr>
          <w:rFonts w:ascii="Times New Roman" w:hAnsi="Times New Roman" w:cs="Times New Roman"/>
          <w:bCs/>
          <w:sz w:val="28"/>
          <w:szCs w:val="28"/>
        </w:rPr>
        <w:t xml:space="preserve">ии налоговой системы.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этой связи ключевые векторы налоговой политики на 2026 год и на плановый период 2027 и 2028 годов будут структурированы и реализованы посредством комплексного подхода, включающего: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рассмотрение предложений по изменению регионального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налогового законодательства с позиции справедливой налоговой нагрузки, создания равных условий, способствующих добросовестной конкуренции, обеспечивающей устойчивость консолидированного бюджета автономного округа в среднесрочной и долгосрочной перспективе</w:t>
      </w:r>
      <w:r>
        <w:rPr>
          <w:rFonts w:ascii="Times New Roman" w:hAnsi="Times New Roman" w:cs="Times New Roman"/>
          <w:bCs/>
          <w:sz w:val="28"/>
          <w:szCs w:val="28"/>
        </w:rPr>
        <w:t xml:space="preserve">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реализацию механизмов налогового стимулирования в рамках приоритетных направлений промышленной и инвестиционной политики;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регулирование системы инвестиционного налогового вычета по налогу на прибыль организаций, в том числе в целях стимулирования привлеч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ения инвестиций в экономику автономного округа при условии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обеспечения определенных параметров бюджетной эффективности, создания условий для консолидации налоговой базы по налогу на прибыль организаций на территории автономного округа;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поддержку субъектов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малого и среднего предпринимательства через предоставление пониженных ставок налога при применении упрощенной системы налогообложения в отдельных сферах экономической деятельности;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продолжение практики актуализации отдельных показателей, устанавливаемых н</w:t>
      </w:r>
      <w:r>
        <w:rPr>
          <w:rFonts w:ascii="Times New Roman" w:hAnsi="Times New Roman" w:cs="Times New Roman"/>
          <w:bCs/>
          <w:sz w:val="28"/>
          <w:szCs w:val="28"/>
        </w:rPr>
        <w:t xml:space="preserve">а региональном уровне: размеров потенциально возможного годового дохода по патентной системе налогообложения, ставок транспортного налога, коэффициента, отражающего региональные особенности рынка труда в автономном округе;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совершенствование механизмов нало</w:t>
      </w:r>
      <w:r>
        <w:rPr>
          <w:rFonts w:ascii="Times New Roman" w:hAnsi="Times New Roman" w:cs="Times New Roman"/>
          <w:bCs/>
          <w:sz w:val="28"/>
          <w:szCs w:val="28"/>
        </w:rPr>
        <w:t xml:space="preserve">гообложения и продолжение работы по вовлечению в налоговый оборот отдельных объектов недвижимости, в отношении которых налог на имущество организаций исчисляется исходя из кадастровой стоимости;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продолжение работы, направленной на расширение налоговой базы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имущественным налогам, в том числе путем выявления правообладателей ранее учтенных объектов недвижимости, права на которые не зарегистрированы в Едином государственном реестре недвижимости;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проведение оценки эффективности предоставленных налоговых льго</w:t>
      </w:r>
      <w:r>
        <w:rPr>
          <w:rFonts w:ascii="Times New Roman" w:hAnsi="Times New Roman" w:cs="Times New Roman"/>
          <w:bCs/>
          <w:sz w:val="28"/>
          <w:szCs w:val="28"/>
        </w:rPr>
        <w:t xml:space="preserve">т, в том числе принятия мер по устранению неэффективных налоговых льгот и иных налоговых преимуществ, проведение первичной оценки эффективности налоговых расходов на этапе разработки проектов региональных законов, устанавливающих соответствующие льготы и 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референции, предоставление налоговых льгот на ограниченный период;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содействие вовлечению граждан в предпринимательскую деятельность и сокращению неформальной занятости, в том числе путем перехода граждан на применение налога на профессиональный доход;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прод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олжение практики социальной поддержки граждан в меняющихся современных условиях.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Эти мероприятия позволят обеспечить баланс интересов общества и возможностей бизнеса, формируя гармоничную модель сосуществования.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Результатом проводимой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налоговой политики в среднесрочной перспективе должны стать рост налоговых поступлений, рост инвестиций, создание новых рабочих мест. Достижение поставленных целей будет осуществляться посредством решения приоритетных задач, включающих: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Актуализацию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логовой нагрузки.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Увеличение в 2026 году регионального коэффициента, отражающего региональные особенности рынка труда на территории автономного округа, с 3,565 до 4,284. Данное изменение основывается на актуализации показателя, произведенной на основе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анализа средней заработной платы в регионе. Это позволяет более точно коррелировать величину налога, уплачиваемого иностранными гражданами, с суммой налога на доходы физических лиц, исчисленного по ставке 13 %, что, в свою очередь, способствует выравниван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ию налоговой нагрузки на мигрантов и российских граждан.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Актуализация размеров потенциально возможного годового дохода, который может быть получен индивидуальным предпринимателем при применении патентной системы налогообложения.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возможность у</w:t>
      </w:r>
      <w:r>
        <w:rPr>
          <w:rFonts w:ascii="Times New Roman" w:hAnsi="Times New Roman" w:cs="Times New Roman"/>
          <w:sz w:val="28"/>
          <w:szCs w:val="28"/>
        </w:rPr>
        <w:t xml:space="preserve">меньшения суммы налога на величину уплаченных страховых взносов, превышающих налоговый платеж, наблюдается снижение поступлений данного вида налога в консолидированный бюджет автономного округа.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чем предлагается пересмотреть методологию расчета п</w:t>
      </w:r>
      <w:r>
        <w:rPr>
          <w:rFonts w:ascii="Times New Roman" w:hAnsi="Times New Roman" w:cs="Times New Roman"/>
          <w:sz w:val="28"/>
          <w:szCs w:val="28"/>
        </w:rPr>
        <w:t xml:space="preserve">отенциально возможного годового дохода, а также актуализировать его количественные параметры, учитывающие специфику предпринимательской деятельности в различных сегментах экономики и обеспечивающие справедливое распределение налоговых обязательств.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Анализ текущей ситуации также выявил необходимость пересмотра коэффициентов дифференциации, применяемых при определении размера потенциально возможного годового дохода по муниципальным образованиям автономного округа.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 Актуализация ставок транспортног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 налога в отношении отдельных транспортных средств.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действующими документами стратегического, территориального и транспортного планирования автономного округа рассматривается необходимость модернизации транспортной инфраструктуры. Данный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вектор развития направлен на повышение связанности территорий, оптимизацию транспортных потоков и формирование крупных логистических коридоров, что в свою очередь способствует расширению рынков сбыта и повышению транспортной доступности социальных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удаленных территорий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данных инициатив позволит существенно повысить эффективность транспортных систем, а также создать благоприятные условия для устойчивого социально-экономического развития региона.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Финансовое обеспечение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мероприятий по развитию транспортной инфраструктуры автономного округа приходится в большей части на направление «Дорожное хозяйство (дорожные фонды)», которое формируется в том числе за счет доходов от поступлений по транспортному налогу. Главным админис</w:t>
      </w:r>
      <w:r>
        <w:rPr>
          <w:rFonts w:ascii="Times New Roman" w:hAnsi="Times New Roman" w:cs="Times New Roman"/>
          <w:bCs/>
          <w:sz w:val="28"/>
          <w:szCs w:val="28"/>
        </w:rPr>
        <w:t xml:space="preserve">тратором данных доходов прогнозируется снижение поступлений по транспортному налогу по причине увеличения количества льготируемых транспортных средств.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поддержания стабильности доходов дорожного фонда и компенсации финансовых потерь, вызванных расш</w:t>
      </w:r>
      <w:r>
        <w:rPr>
          <w:rFonts w:ascii="Times New Roman" w:hAnsi="Times New Roman" w:cs="Times New Roman"/>
          <w:bCs/>
          <w:sz w:val="28"/>
          <w:szCs w:val="28"/>
        </w:rPr>
        <w:t xml:space="preserve">ирением категории транспортных средств, освобождаемых от уплаты транспортного налога для отдельных социально уязвимых групп населения, предлагается пересмотреть льготную систему налогообложения. В частности, предлагается пересмотреть размер налоговых льгот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легковых автомобилей с мощностью двигателя до 150 лошадиных сил. Также данная мера будет сопровождаться введением ограничений на ее применение, а именно: льгота будет распространяться исключительно на одно транспортное средство, принадлежащее налогопл</w:t>
      </w:r>
      <w:r>
        <w:rPr>
          <w:rFonts w:ascii="Times New Roman" w:hAnsi="Times New Roman" w:cs="Times New Roman"/>
          <w:bCs/>
          <w:sz w:val="28"/>
          <w:szCs w:val="28"/>
        </w:rPr>
        <w:t xml:space="preserve">ательщику.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 предложенных изменений ставка транспортного налога для легковых автомобилей с мощностью двигателя до 100 лошадиных сил будет скорректирована с 5 до 7,5 рубля. Для легковых автомобилей с мощностью двигателя в диапазоне от 100 до 150</w:t>
      </w:r>
      <w:r>
        <w:rPr>
          <w:rFonts w:ascii="Times New Roman" w:hAnsi="Times New Roman" w:cs="Times New Roman"/>
          <w:bCs/>
          <w:sz w:val="28"/>
          <w:szCs w:val="28"/>
        </w:rPr>
        <w:t xml:space="preserve"> лошадиных сил ставка будет увеличена с 7 до 17,5 рубля.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Расширение льготируемых категорий транспортных средств для отдельных групп населения по транспортному налогу.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2.1. В целях создания благоприятного режима налогообложения не только для субъектов 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редпринимательской деятельности и отраслей экономики, но и для отдельных групп населения, нуждающихся в государственной поддержке, планируется расширение категорий транспортных средств, освобождаемых от уплаты транспортного налога.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Предлагается дополнить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существующую льготную категорию транспортными средствами, обладающими определенными техническими характеристиками. В частности, предлагается включить в льготируемую категорию грузовые автомобили с мощностью двигателя до 150 лошадиных сил и самоходные транс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портные средства с мощностью до 100 лошадиных сил.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Освобождение от уплаты транспортного налога участников специальной военной операции, осуществляющих виды деятельности, относящиеся к агропромышленному комплексу, не только за легковые автомобили, 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за грузовые автомобили мощностью до 200 лошадиных сил.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Учитывая, что именно такие транспортные средства являются традиционными в агрохозяйственных процессах фермеров, данное решение способствует развитию агропромышленного комплекса региона. Кроме того, </w:t>
      </w:r>
      <w:r>
        <w:rPr>
          <w:rFonts w:ascii="Times New Roman" w:hAnsi="Times New Roman" w:cs="Times New Roman"/>
          <w:bCs/>
          <w:sz w:val="28"/>
          <w:szCs w:val="28"/>
        </w:rPr>
        <w:t xml:space="preserve">это решение имеет дополнительный эффект, так как оно направлено на поддержку участников специальной военной операции, что подчеркивает его стратегическую значимость для социально-экономического развития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Поддержку субъектов малого 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реднего предпринимательства через предоставление пониженных ставок налога при применении упрощенной системы налогообложения в отдельных сферах экономической деятельности.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3.1. Установление пониженных ставок по упрощенной системе налогообложения для субъект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креативных индустрий, включенных в Реестр субъектов креативных индустрий автономного округа и осуществляющих деятельность в сфере креативных индустрий, по перечню видов экономической деятельности, определенных в соответствии с Федеральным законом от 8 а</w:t>
      </w:r>
      <w:r>
        <w:rPr>
          <w:rFonts w:ascii="Times New Roman" w:hAnsi="Times New Roman" w:cs="Times New Roman"/>
          <w:bCs/>
          <w:sz w:val="28"/>
          <w:szCs w:val="28"/>
        </w:rPr>
        <w:t xml:space="preserve">вгуста 2024 года № 330-ФЗ «О развитии креативных (творческих) индустрий в Российской Федерации».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Учитывая социально-экономическую значимость развития креативных индустрий автономного округа, предоставление налоговых льгот субъектам данной сферы является кл</w:t>
      </w:r>
      <w:r>
        <w:rPr>
          <w:rFonts w:ascii="Times New Roman" w:hAnsi="Times New Roman" w:cs="Times New Roman"/>
          <w:bCs/>
          <w:sz w:val="28"/>
          <w:szCs w:val="28"/>
        </w:rPr>
        <w:t xml:space="preserve">ючевым фактором для привлечения новых участников в креативный сектор и обеспечения его долгосрочного развития. Внедрение дифференцированных ставок налога в рамках упрощенной системы налогообложения, а именно установление пониженной ставки в размере 5 %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объектов налогообложения, представляющих собой доходы, уменьшенные на величину расходов, и ставки в размере 1 % для объектов налогообложения в виде доходов, направлено на создание более благоприятных условий для предпринимательской деятельности в креативн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ом секторе. Льготные налоговые ставки предоставляются при условии, что доля выручки от деятельности в данной сфере составляет не менее 70 %.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 Установление пониженных ставок по упрощенной системе налогообложения для ветеранов боевых действий, принимавши</w:t>
      </w:r>
      <w:r>
        <w:rPr>
          <w:rFonts w:ascii="Times New Roman" w:hAnsi="Times New Roman" w:cs="Times New Roman"/>
          <w:bCs/>
          <w:sz w:val="28"/>
          <w:szCs w:val="28"/>
        </w:rPr>
        <w:t xml:space="preserve">х участие (содействовавших выполнению задач, возложенных на Вооруженные Силы Российской Федерации) в специальной военной операции, зарегистрированных в качестве индивидуальных предпринимателей.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обеспечения возможности гражданам автономного округа с</w:t>
      </w:r>
      <w:r>
        <w:rPr>
          <w:rFonts w:ascii="Times New Roman" w:hAnsi="Times New Roman" w:cs="Times New Roman"/>
          <w:bCs/>
          <w:sz w:val="28"/>
          <w:szCs w:val="28"/>
        </w:rPr>
        <w:t xml:space="preserve">амореализоваться в сфере предпринимательства после возвращения из зоны проведения специальной военной операции предлагается по налогу, уплачиваемому в связи с применением упрощенной системы налогообложения, установить пониженные налоговые ставки: 1 % – есл</w:t>
      </w:r>
      <w:r>
        <w:rPr>
          <w:rFonts w:ascii="Times New Roman" w:hAnsi="Times New Roman" w:cs="Times New Roman"/>
          <w:bCs/>
          <w:sz w:val="28"/>
          <w:szCs w:val="28"/>
        </w:rPr>
        <w:t xml:space="preserve">и объектом налогообложения являются доходы, 5 % – если объектом налогообложения являются доходы, уменьшенные на величину расходов, при условии осуществления предпринимательской деятельности на территории автономного округа без привлечения работников и вклю</w:t>
      </w:r>
      <w:r>
        <w:rPr>
          <w:rFonts w:ascii="Times New Roman" w:hAnsi="Times New Roman" w:cs="Times New Roman"/>
          <w:bCs/>
          <w:sz w:val="28"/>
          <w:szCs w:val="28"/>
        </w:rPr>
        <w:t xml:space="preserve">чения в Единый реестр субъектов малого и среднего предпринимательства.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Донастройку преференциальных налоговых режимов на основании полученных выводов об эффективности налоговых расходов автономного округа за 2024 год.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4.1. По налогу на имущество органи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заций.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4.1.1. Продлить срок действия эффективных налоговых расходов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до 31 декабря 2028 года: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организаций в отношении объектов жилищного фонда, находящихся: в наемном доме коммерческого использования, включенном в перечень наемных домов коммерческого и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спользования в автономном округе, формируемый в порядке, установленном Правительством автономного округа; в наемном доме социального использования, учтенном в муниципальном реестре наемных домов социального использования в порядке, установленном Правительс</w:t>
      </w:r>
      <w:r>
        <w:rPr>
          <w:rFonts w:ascii="Times New Roman" w:hAnsi="Times New Roman" w:cs="Times New Roman"/>
          <w:bCs/>
          <w:sz w:val="28"/>
          <w:szCs w:val="28"/>
        </w:rPr>
        <w:t xml:space="preserve">твом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религиозных объединений и организаций в отношении отдельных объектов недвижимого имущества.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4.1.2. Продлить срок действия неэффективных налоговых расходов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до 31 декабря 2028 года при условии обеспечения кураторами налоговых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сходов принятия мер по обеспечению их результативности и востребованности: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общественных организаций, в том числе первичных профсоюзных организаций, за исключением недвижимого имущества, используемого ими в предпринимательской деятельности;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организаций, осуществляющих выращивание овощей, бахчевых, корнеплодных и клубнеплодных культур, грибов и трюфелей.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4.1.3. Уточнить параметры применения льготы для организаций в отношении объектов, обеспечивающих комфортные условия проживания граждан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жилых помещениях; по результатам оценки за 5-летний период в течение 3 налоговых периодов наблюдается отрицательная бюджетная эффективность (самоокупаемость), в связи с чем предлагается установить льготу только для предприятий, оказывающих жилищно-коммунал</w:t>
      </w:r>
      <w:r>
        <w:rPr>
          <w:rFonts w:ascii="Times New Roman" w:hAnsi="Times New Roman" w:cs="Times New Roman"/>
          <w:bCs/>
          <w:sz w:val="28"/>
          <w:szCs w:val="28"/>
        </w:rPr>
        <w:t xml:space="preserve">ьные услуги.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4.1.4. Отменить с 1 января 2026 года невостребованную льготу, предоставленную организациям, реализующим инвестиционные проекты на основании соглашения о защите и поощрении капиталовложений.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4.2. По налогу на прибыль организаций с 1 января 2026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отменить невостребованную льготу за 5-летний период в виде пониженной ставки, установленной для организаций – участников региональных инвестиционных контрактов.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4.3. По транспортному налогу.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4.3.1. Сохранить до 31 декабря 2028 года невостребованные н</w:t>
      </w:r>
      <w:r>
        <w:rPr>
          <w:rFonts w:ascii="Times New Roman" w:hAnsi="Times New Roman" w:cs="Times New Roman"/>
          <w:bCs/>
          <w:sz w:val="28"/>
          <w:szCs w:val="28"/>
        </w:rPr>
        <w:t xml:space="preserve">алоговые расходы при условии проведения куратором налогового расхода мероприятий, направленных на выявление причин невостребованности и обеспечения эффективности их применения в будущих периодах для региональных социально ориентированных некоммерческих орг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анизаций и общественных организаций инвалидов.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4.3.2. Продлить действие налогового расхода до 31 декабря 2028 года в отношении легковых автомобилей, грузовых автомобилей и автобусов, использующих природный газ, газовые смеси, сжиженный углеводородный газ в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качестве моторного топлива, электромобилей и гибридных транспортных средств при условии обеспечения куратором налогового расхода включения в государственную программу автономного округа «Современная транспортная система» задач структурного элемента и знач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ения показателя (индикатора) достижения целей государственной программы, для исполнения которых сохраняется налоговая льгота по транспортному налогу.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4.3.3. Уточнить параметры применения льготы для отдельных групп населения.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действующим 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егиональным законодательством, от уплаты транспортного налога освобождаются лица, имеющие статус инвалидов различных категорий, а также один из родителей (усыновителей), осуществляющих воспитание ребенка-инвалида. Данное исключение не может применяться гра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жданами из числа инвалидов с детства, признанных недееспособными при достижении совершеннолетия. Кроме того, родители детей-инвалидов, ставшие их опекунами после достижения детьми возраста совершеннолетия, также не имеют права на данное налоговое освобожде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снижения налоговой нагрузки для лиц, являющихся одним из опекунов в отношении совершеннолетнего недееспособного гражданина с установленной инвалидностью, требуется установление освобождения от уплаты транспортного налога.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вышеуказанных направлений налоговой политики позволит обеспечить сбалансированность консолидированного бюджета в целях финансирования расходных обязательств, направленных на устойчивое социально-экономическое развитие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Раздел</w:t>
      </w:r>
      <w:r>
        <w:rPr>
          <w:rFonts w:ascii="Times New Roman" w:hAnsi="Times New Roman" w:cs="Times New Roman"/>
          <w:bCs/>
          <w:sz w:val="28"/>
          <w:szCs w:val="28"/>
        </w:rPr>
        <w:t xml:space="preserve"> II. Основные направления бюджетной политики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Ханты-Мансийского автономного округа – Югры и подходы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формированию характеристик бюджета Ханты-Мансийского автономного округа – Югры на 2026 год и на плановый период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2027 и 2028 годов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условиях текущей геопо</w:t>
      </w:r>
      <w:r>
        <w:rPr>
          <w:rFonts w:ascii="Times New Roman" w:hAnsi="Times New Roman" w:cs="Times New Roman"/>
          <w:bCs/>
          <w:sz w:val="28"/>
          <w:szCs w:val="28"/>
        </w:rPr>
        <w:t xml:space="preserve">литической ситуации и возникающих в связи с этим рисков бюджетная политика автономного округа нацелена на проведение бюджетной консолидации, включающей увеличение доходов и повышение эффективности расходов. В области доходов бюджетная политика ориентирован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а на укрепление финансовой обеспеченности и сохранение стабильности доходной базы бюджета.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Достижению этой цели будет способствовать продолжение работы по развитию доходного потенциала на основе постоянного мониторинга рисков развития экономики автономного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 и улучшения качества администрирования.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2022 года российская экономика находится в условиях устойчивого санкционного режима, что является основанием для сохранения умеренного, консервативного подхода к планированию доходов бюджета.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Процесс формир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ования прогноза доходов бюджета автономного округа на предстоящий финансовый период сопряжен с рядом новаций федерального законодательства.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2026 года в связи с прекращением действия временного механизма перераспределения налога на прибыль между бюджетам</w:t>
      </w:r>
      <w:r>
        <w:rPr>
          <w:rFonts w:ascii="Times New Roman" w:hAnsi="Times New Roman" w:cs="Times New Roman"/>
          <w:bCs/>
          <w:sz w:val="28"/>
          <w:szCs w:val="28"/>
        </w:rPr>
        <w:t xml:space="preserve">и субъектов Российской Федерации налог, уплачиваемый налогоплательщиками, которые до 1 января 2023 года являлись участниками консолидированных групп налогоплательщиков, в полном объеме подлежит зачислению в бюджет автономного округа, что положительно отраз</w:t>
      </w:r>
      <w:r>
        <w:rPr>
          <w:rFonts w:ascii="Times New Roman" w:hAnsi="Times New Roman" w:cs="Times New Roman"/>
          <w:bCs/>
          <w:sz w:val="28"/>
          <w:szCs w:val="28"/>
        </w:rPr>
        <w:t xml:space="preserve">ится на доходной части бюджета.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 2030 года сохранится ограничение на уменьшение налоговой базы по налогу на прибыль организаций за счет убытков прошлых периодов: налогоплательщики смогут списывать убытки не более чем на 50 % от прибыли текущего периода.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Начиная с 2026 года изменятся правила уплаты налогов, выпадающие на выходные или праздничные дни. Уплата налога будет осуществляться в последний рабочий день перед выходными. 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1 января 2026 года плата за негативное воздействие на окружающую среду подлеж</w:t>
      </w:r>
      <w:r>
        <w:rPr>
          <w:rFonts w:ascii="Times New Roman" w:hAnsi="Times New Roman" w:cs="Times New Roman"/>
          <w:bCs/>
          <w:sz w:val="28"/>
          <w:szCs w:val="28"/>
        </w:rPr>
        <w:t xml:space="preserve">ит зачислению в бюджеты субъектов Российской Федерации по нормативу 100,0 %. 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целью обеспечения прозрачности администрирования и прогнозирования доходов в предстоящем бюджетном цикле продолжится работа по внедрению цифровизации в систему управления дохо</w:t>
      </w:r>
      <w:r>
        <w:rPr>
          <w:rFonts w:ascii="Times New Roman" w:hAnsi="Times New Roman" w:cs="Times New Roman"/>
          <w:bCs/>
          <w:sz w:val="28"/>
          <w:szCs w:val="28"/>
        </w:rPr>
        <w:t xml:space="preserve">дами бюджета автономного округа: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апробирован и запущен на постоянной основе механизм согласования методик прогнозирования доходов и вносимых в них изменений в цифровом формате с главными администраторами доходов бюджета с использова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нием государственной информационной системы автономного округа «Региональный электронный бюджет Югры»;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завершится донастройка подсистемы, разработанной для формирования главными администраторами доходов бюджета прогноза доходов в государственной информацио</w:t>
      </w:r>
      <w:r>
        <w:rPr>
          <w:rFonts w:ascii="Times New Roman" w:hAnsi="Times New Roman" w:cs="Times New Roman"/>
          <w:bCs/>
          <w:sz w:val="28"/>
          <w:szCs w:val="28"/>
        </w:rPr>
        <w:t xml:space="preserve">нной системе «Региональный электронный бюджет Югры» в соответствии с утвержденными методиками прогнозирования доходов. Данный функционал упростит процедуру расчета доходов, повысит ее точность и прозрачность, исключит дублирующий и избыточный документообор</w:t>
      </w:r>
      <w:r>
        <w:rPr>
          <w:rFonts w:ascii="Times New Roman" w:hAnsi="Times New Roman" w:cs="Times New Roman"/>
          <w:bCs/>
          <w:sz w:val="28"/>
          <w:szCs w:val="28"/>
        </w:rPr>
        <w:t xml:space="preserve">от;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завершится осуществление тестового режима и будет реализовано на постоянной основе ежемесячное формирование главными администраторами доходов в государственной информационной системе «Региональный электронный бюджет Югры» ожидаемой оценки поступлений д</w:t>
      </w:r>
      <w:r>
        <w:rPr>
          <w:rFonts w:ascii="Times New Roman" w:hAnsi="Times New Roman" w:cs="Times New Roman"/>
          <w:bCs/>
          <w:sz w:val="28"/>
          <w:szCs w:val="28"/>
        </w:rPr>
        <w:t xml:space="preserve">оходов и кассового плана по доходам бюджета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запущена и будет продолжена работа по настройке системы для формирования прогноза доходов на предстоящий финансовый период муниципальными образованиями в электронном виде с использованием госу</w:t>
      </w:r>
      <w:r>
        <w:rPr>
          <w:rFonts w:ascii="Times New Roman" w:hAnsi="Times New Roman" w:cs="Times New Roman"/>
          <w:bCs/>
          <w:sz w:val="28"/>
          <w:szCs w:val="28"/>
        </w:rPr>
        <w:t xml:space="preserve">дарственной информационной системы «Региональный электронный бюджет Югры».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Основными приоритетами бюджетной политики автономного округа в области расходов по-прежнему являются достижение национальных целей развития, определенных Указом № 309, приоритетов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социально-экономического развития автономного округа, обозначенных в послании Губернатора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качестве базовых для формирования расходов бюджета автономного округа на 2026-2028 годы приняты расходы, утвержденные Законом автономного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28 ноября 2024 года № 80-оз «О бюджете Ханты-Мансийского автономного округа – Югры на 2025 год и на плановый период 2026 и 2027 годов» (далее – Закон № 80-оз), без учета замены дотации на выравнивание бюджетной обеспеченности муниципальных районов (гор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одских округов) дополнительными нормативами отчислений от налога на доходы физических лиц. Расходы бюджета автономного округа на 2028 год рассчитаны на основе объемов бюджетных ассигнований, утвержденных Законом № 80-оз на 2027 год.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расчете предельных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объемов расходов бюджета автономного округа на 2026 – 2028 годы учтены следующие факторы: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увеличение бюджетных ассигнований на обеспечение социальных выплат, размер которых определяется от величины прожиточного минимума;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индексация с 1 января 2026 года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4 %: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мер социальной поддержки, относящихся к публичным и публичным нормативным обязательствам, расходов на организацию отдыха и оздоровления в части нормативов, утвержденных постановлением Правительства автономного округа от 27 января 2010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21-п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«О порядке организации отдыха и оздоровления детей, имеющих место жительства в Ханты-Мансийском автономном округе – Югре»;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расходов на ежемесячные и единовременные стипендии спортсменам, спортсменам-инвалидам, их тренерам по итогам выступлений на с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портивных соревнованиях,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расходов на питание, включая питание льготных категорий обучающихся и учащихся начальных классов в государственных, муниципальных и частных общеобразовательных организациях, питание в пришкольных лагерях, в учреждениях социального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обслуживания, здравоохранения, культуры, физической культуры и спорта;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расходов государственных медицинских организаций автономного округа на приобретение лекарственных препаратов и материалов, применяемых в медицинских целях;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индексация с 1 сентября 2026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на 4 % расходов стипендиального фонда обучающихся (студентов) в государственных, федеральных и частных учреждениях высшего и среднего профессионального образования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индексация с 1 октября 2026 года на 4 % фонда оплаты труда работни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ков государственных учреждений, не учтенных в Указах № 597, №</w:t>
      </w:r>
      <w: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761, № 1688;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индексация с 1 января 2026 года на 9 % расходов на оплату коммунальных услуг государственных учреждений и государственных органов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изменение численности континген</w:t>
      </w:r>
      <w:r>
        <w:rPr>
          <w:rFonts w:ascii="Times New Roman" w:hAnsi="Times New Roman" w:cs="Times New Roman"/>
          <w:bCs/>
          <w:sz w:val="28"/>
          <w:szCs w:val="28"/>
        </w:rPr>
        <w:t xml:space="preserve">та и получателей мер социальной поддержки;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изменение показателей, учитываемых в методиках предоставления межбюджетных трансфертов бюджетам муниципальных образований автономного округа из бюджета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изменение стоимости квадратного метра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иобретаемого жилья детям-сиротам и детям, оставшимся без попечения родителей, лицам из их числа.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2027 – 2028 годы перечисленные параметры индексации учтены на уровне 2026 года, включая их пересчет на полный год.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расчете фонда оплаты труда учтено: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категориям работников, подпадающих под указы № 597, № 761, № 1688, прогнозное значение показателя «среднемесячный доход от трудовой деятельности» на 2026 год – 117 262 рубля с ростом на 8 % к оценке за 2025 год;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прогнозная величина минимального размера опл</w:t>
      </w:r>
      <w:r>
        <w:rPr>
          <w:rFonts w:ascii="Times New Roman" w:hAnsi="Times New Roman" w:cs="Times New Roman"/>
          <w:bCs/>
          <w:sz w:val="28"/>
          <w:szCs w:val="28"/>
        </w:rPr>
        <w:t xml:space="preserve">аты труда (далее – МРОТ) с 1 января 2026 года – 27 093 рубля с ростом на 20,7 % к его размеру на 1 января 2025 года – 22 440 рублей.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 менее благоприятной конъюнктурой на мировых сырьевых рынках и замедлением динамики основных макроэкономических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казателей требуется разработка мер по повышению эффективности бюджетных расходов, их приоритизации, повышению адресности предоставляемых субъектам экономической деятельности мер поддержки на основе оценки влияния предоставляемых мер на рост экономического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потенциала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социальной сфере и сфере занятости населения основные приоритетные направления бюджетной политики направлены на поддержку семей с детьми, многодетных семей, создание благоприятных условий для рождения и воспитания детей,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строение эффективной системы социального сопровождения по выводу граждан и семей с детьми из трудной жизненной ситуации, а также на снижение уровня бедности и обеспечение занятости населения.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сфере предоставления социальных гарантий отдельным категориям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граждан и семьям с детьми в рамках проведения мероприятий по бюджетной консолидации ресурсов продолжится перераспределение средств между мерами социальной поддержки с использованием принципов адресности и нуждаемости (в пользу наиболее нуждающихся, малооб</w:t>
      </w:r>
      <w:r>
        <w:rPr>
          <w:rFonts w:ascii="Times New Roman" w:hAnsi="Times New Roman" w:cs="Times New Roman"/>
          <w:bCs/>
          <w:sz w:val="28"/>
          <w:szCs w:val="28"/>
        </w:rPr>
        <w:t xml:space="preserve">еспеченных граждан) на основе проведения мониторинга уровня и структуры, причин бедности граждан (семей), получающих государственную поддержку, а также оценки влияния региональных мер социальной поддержки на снижение доли граждан (семей) с доходами не выше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величины прожиточного минимума, выявление наиболее эффективных инструментов социальной поддержки.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По-прежнему ключевым социальным приоритетом в работе Правительства автономного округа является безоговорочная всесторонняя поддержка участников специальной в</w:t>
      </w:r>
      <w:r>
        <w:rPr>
          <w:rFonts w:ascii="Times New Roman" w:hAnsi="Times New Roman" w:cs="Times New Roman"/>
          <w:bCs/>
          <w:sz w:val="28"/>
          <w:szCs w:val="28"/>
        </w:rPr>
        <w:t xml:space="preserve">оенной операции и членов их семей.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Средства на обеспечение прав, льгот, социальных гарантий и компенсаций для участников специальной военной операции и членов их семей в соответствии с единым перечнем, утвержденным постановлением Правительства автономного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округа от 10 февраля 2023 года № 51-п, в бюджете автономного округа предусматриваются в полном объеме.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Реализуется проект «Герои Югры» в целях подготовки высококвалифицированных, компетентных руководителей для последующей работы в органах и организациях публичной власти из числа ветеранов боевых действий, в том числе участников специальной военной операции.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Бюджетная политика в сфере здравоохранения направлена на достижение ключевых показателей региональных проектов, направленных на достижение целей, показателей и решение задач национальных проектов «Продолжительная и активная жизнь» и «Семья».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Достижение поставленных целей в сфере здравоохранения в условиях ограниченности финансовых ресурсов предполагает перераспределение имеющихся средств в пользу приоритетных направлений и проектов.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Обеспечены финансированием мероприятия по предотвращению преж</w:t>
      </w:r>
      <w:r>
        <w:rPr>
          <w:rFonts w:ascii="Times New Roman" w:hAnsi="Times New Roman" w:cs="Times New Roman"/>
          <w:bCs/>
          <w:sz w:val="28"/>
          <w:szCs w:val="28"/>
        </w:rPr>
        <w:t xml:space="preserve">девременной смертности населения от сердечно-сосудистых и онкологических заболеваний, по раннему выявлению и лечению сахарного диабета, борьбе с гепатитом С, по развитию реабилитационной медицинской помощи в целях сокращения времени, необходимого для восст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ановления работоспособности после перенесенных заболеваний.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Предусмотрены дополнительные бюджетные ассигнования на обеспечение отдельных категорий граждан лекарственными препаратами, включенными в перечень жизненно необходимых и важнейших лекарственных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епаратов, а также для лечения заболеваний, включенных в перечень жизнеугрожающих и хронических прогрессирующих редких (орфанных) заболеваний.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Повышению доступности медицинской помощи в труднодоступных и отдаленных населенных пунктах автономного округа буде</w:t>
      </w:r>
      <w:r>
        <w:rPr>
          <w:rFonts w:ascii="Times New Roman" w:hAnsi="Times New Roman" w:cs="Times New Roman"/>
          <w:bCs/>
          <w:sz w:val="28"/>
          <w:szCs w:val="28"/>
        </w:rPr>
        <w:t xml:space="preserve">т способствовать ввод новой плавучей поликлиники «Святитель Лука».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Бюджетная политика в сфере образования направлена на финансовое обеспечение приоритетных направлений развития системы образования в рамках региональной составляющей национального проекта «М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олодёжь и дети».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Планируется продолжить реализацию мероприятий по развитию инфраструктуры объектов образования (строительство, капитальный ремонт, благоустройство территорий муниципальных общеобразовательных организаций, включая обустройство и (или) ремон</w:t>
      </w:r>
      <w:r>
        <w:rPr>
          <w:rFonts w:ascii="Times New Roman" w:hAnsi="Times New Roman" w:cs="Times New Roman"/>
          <w:bCs/>
          <w:sz w:val="28"/>
          <w:szCs w:val="28"/>
        </w:rPr>
        <w:t xml:space="preserve">т, оснащение плоскостных спортивных сооружений, развивающих площадок).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По-прежнему одной из важнейших задач остается комплексное обновление материально-технической базы образовательных организаций, оснащение общеобразовательных организаций средствами обуче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ния и воспитания, соответствующими современным условиям обучения, оснащение школьных библиотек новыми едиными учебниками, разработанными по поручению Президента Российской Федерации в соответствии с обновленными федеральными государственными стандартами.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Обеспечено финансированием увеличение контрольных цифр приема обучающихся по программам среднего и высшего профессионального образования на основе прогноза потребности отраслей экономики в специалистах по уровню образования с учетом необходимости технологи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ческого развития экономики автономного округа и реализации инвестиционных проектов.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условиях бюджетной консолидации ресурсов в сфере образования особого внимания требуют подходы к планированию показателей, лежащих в основе формирования объемов субвенций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муниципальным образованиям автономного округа для обеспечения государственных гарантий на получение образования.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сфере молодёжной политики средства предусмотрены на продолжение мероприятий по созданию условий для самореализации молодых людей, развития до</w:t>
      </w:r>
      <w:r>
        <w:rPr>
          <w:rFonts w:ascii="Times New Roman" w:hAnsi="Times New Roman" w:cs="Times New Roman"/>
          <w:bCs/>
          <w:sz w:val="28"/>
          <w:szCs w:val="28"/>
        </w:rPr>
        <w:t xml:space="preserve">бровольчества и гражданской активности, международного молодежного сотрудничества, продвижения традиционных духовно-нравственных ценностей, на реализацию проектов патриотического воспитания, развития инфраструктуры в сфере молодежной политики. Повышению ак</w:t>
      </w:r>
      <w:r>
        <w:rPr>
          <w:rFonts w:ascii="Times New Roman" w:hAnsi="Times New Roman" w:cs="Times New Roman"/>
          <w:bCs/>
          <w:sz w:val="28"/>
          <w:szCs w:val="28"/>
        </w:rPr>
        <w:t xml:space="preserve">тивности участия молодежи в решении вопросов местного значения будет способствовать проведение на региональном уровне конкурса по поддержке молодежных инициативных проектов.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Бюджетная политика в сфере культуры направлена на содействие развитию культурного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потенциала, включая увеличение числа посещений культурных мероприятий путем повышения привлекательности и популярности культурных мероприятий, в том числе среди молодежи, использования современных цифровых технологий и популяризации объектов культурного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следия.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повышения эффективности расходования бюджетных средств остается актуальной задача по разработке нормирования расходов на проведение мероприятий различного уровня в сферах культуры, образования и молодежной политики.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сфере физической культ</w:t>
      </w:r>
      <w:r>
        <w:rPr>
          <w:rFonts w:ascii="Times New Roman" w:hAnsi="Times New Roman" w:cs="Times New Roman"/>
          <w:bCs/>
          <w:sz w:val="28"/>
          <w:szCs w:val="28"/>
        </w:rPr>
        <w:t xml:space="preserve">уры и спорта продолжится создание условий для занятий спортом для всех категорий населения, в том числе с учетом реализации в автономном округе мероприятий по развитию видов спорта с невысокой стоимостью спортивной экипировки, спортивного инвентаря и обору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дования, эксплуатации объектов спорта и спортивных сооружений в соответствии с поручением Президента Российской Федерации.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Повышению эффективности использования средств бюджета автономного округа должно способствовать создание механизмов контроля за целевы</w:t>
      </w:r>
      <w:r>
        <w:rPr>
          <w:rFonts w:ascii="Times New Roman" w:hAnsi="Times New Roman" w:cs="Times New Roman"/>
          <w:bCs/>
          <w:sz w:val="28"/>
          <w:szCs w:val="28"/>
        </w:rPr>
        <w:t xml:space="preserve">м и эффективным использованием объектов спорта и спортивных сооружений с применением региональной информационной системы в сфере физической культуры и спорта.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Меры поддержки коренных малочисленных народов Севера оказываются в сфере образования, социальной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защиты и ведения традиционной хозяйственной деятельности. В плановом периоде в целях повышения заинтересованности населения к отрасли оленеводства планируется ввести дополнительный вид поддержки на содержание поголовья северных оленей индивидуального секто</w:t>
      </w:r>
      <w:r>
        <w:rPr>
          <w:rFonts w:ascii="Times New Roman" w:hAnsi="Times New Roman" w:cs="Times New Roman"/>
          <w:bCs/>
          <w:sz w:val="28"/>
          <w:szCs w:val="28"/>
        </w:rPr>
        <w:t xml:space="preserve">ра. С целью поддержки и стимулирования организаций, осуществляющих традиционную хозяйственную деятельность, планируется увеличение размера ставки субсидий на продукцию охоты. С 2026 года будут предоставляться гранты общинам коренных малочисленных народов С</w:t>
      </w:r>
      <w:r>
        <w:rPr>
          <w:rFonts w:ascii="Times New Roman" w:hAnsi="Times New Roman" w:cs="Times New Roman"/>
          <w:bCs/>
          <w:sz w:val="28"/>
          <w:szCs w:val="28"/>
        </w:rPr>
        <w:t xml:space="preserve">евера на реализацию проектов в сфере этнографического туризма.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Обеспечению дополнительных гарантий государственной защиты прав и законных интересов коренных малочисленных народов, проживающих на территории автономного округа, способствует создание в автоно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мном округе института Уполномоченного по правам коренных малочисленных народов.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Бюджетная политика в сфере транспортного обслуживания направлена на финансовое обеспечение мероприятий по перевозке пассажиров в межмуниципальном сообщении автомобильным, возд</w:t>
      </w:r>
      <w:r>
        <w:rPr>
          <w:rFonts w:ascii="Times New Roman" w:hAnsi="Times New Roman" w:cs="Times New Roman"/>
          <w:bCs/>
          <w:sz w:val="28"/>
          <w:szCs w:val="28"/>
        </w:rPr>
        <w:t xml:space="preserve">ушным и водным транспортом, в пригородном сообщении железнодорожным транспортом, а также воздушным транспортом по региональным маршрутам.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Бюджетная политика в сфере дорожного хозяйства автономного округа по-прежнему направлена на обеспечение проведения ка</w:t>
      </w:r>
      <w:r>
        <w:rPr>
          <w:rFonts w:ascii="Times New Roman" w:hAnsi="Times New Roman" w:cs="Times New Roman"/>
          <w:bCs/>
          <w:sz w:val="28"/>
          <w:szCs w:val="28"/>
        </w:rPr>
        <w:t xml:space="preserve">питального и текущего ремонта, содержания автомобильных дорог регионального и межмуниципального значения, сформированного с учетом утвержденных нормативов финансовых затрат, а также на строительство (реконструкцию), капитальный ремонт автомобильных дорог м</w:t>
      </w:r>
      <w:r>
        <w:rPr>
          <w:rFonts w:ascii="Times New Roman" w:hAnsi="Times New Roman" w:cs="Times New Roman"/>
          <w:bCs/>
          <w:sz w:val="28"/>
          <w:szCs w:val="28"/>
        </w:rPr>
        <w:t xml:space="preserve">естного значения, в пределах объема доходов дорожного фонда автономного округа. Предлагается начиная с 2027 года пересмотреть источники формирования и направления использования средств дорожного фонда без наполнения дорожного фонда автономного округа иными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доходами бюджета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достижения показателей и решения задач национального проекта «Эффективная и конкурентная экономика» продолжится реализация мероприятий, направленных на оказание всесторонней комплексной поддержки физическим лиц</w:t>
      </w:r>
      <w:r>
        <w:rPr>
          <w:rFonts w:ascii="Times New Roman" w:hAnsi="Times New Roman" w:cs="Times New Roman"/>
          <w:bCs/>
          <w:sz w:val="28"/>
          <w:szCs w:val="28"/>
        </w:rPr>
        <w:t xml:space="preserve">ам, планирующим осуществлять предпринимательскую деятельность, начинающим и действующим субъектам малого и среднего предпринимательства, в том числе созданным участниками специальной военной операции или обеспечивающим занятость лиц из числа ветеранов и уч</w:t>
      </w:r>
      <w:r>
        <w:rPr>
          <w:rFonts w:ascii="Times New Roman" w:hAnsi="Times New Roman" w:cs="Times New Roman"/>
          <w:bCs/>
          <w:sz w:val="28"/>
          <w:szCs w:val="28"/>
        </w:rPr>
        <w:t xml:space="preserve">астников специальной военной операции, а также физическим лицам, применяющим специальный налоговый режим «Налог на профессиональный доход».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сфере агропромышленного комплекса с целью обеспечения региональной продовольственной безопасности и увеличения об</w:t>
      </w:r>
      <w:r>
        <w:rPr>
          <w:rFonts w:ascii="Times New Roman" w:hAnsi="Times New Roman" w:cs="Times New Roman"/>
          <w:bCs/>
          <w:sz w:val="28"/>
          <w:szCs w:val="28"/>
        </w:rPr>
        <w:t xml:space="preserve">ъёмов производства продукции на территории автономного округа в предстоящий трёхлетний период будет продолжено оказание государственной поддержки производства продукции с определением приоритета поддержки птицеводства, молочного скотоводства, оленеводства,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развитие и укрепление материально-технической базы субъектов агропромышленного комплекса.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Бюджетная политика в сфере промышленности направлена на оказание государственной поддержки предприятиям обрабатывающей промышленности в целях диверсификации регионал</w:t>
      </w:r>
      <w:r>
        <w:rPr>
          <w:rFonts w:ascii="Times New Roman" w:hAnsi="Times New Roman" w:cs="Times New Roman"/>
          <w:bCs/>
          <w:sz w:val="28"/>
          <w:szCs w:val="28"/>
        </w:rPr>
        <w:t xml:space="preserve">ьной экономики и создания импортозамещающих производств, включая предоставление Фондом развития автономного округа целевых займов на реализацию проектов.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Продолжится реализация проекта по созданию в регионе особой экономической зоны промышленно-производств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енного типа, направленной на повышение инвестиционной привлекательности и социально-экономическое развитие региона.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Одной из важных задач остается повышение производительности труда на предприятиях несырьевых отраслей экономики автономного округа путем ре</w:t>
      </w:r>
      <w:r>
        <w:rPr>
          <w:rFonts w:ascii="Times New Roman" w:hAnsi="Times New Roman" w:cs="Times New Roman"/>
          <w:bCs/>
          <w:sz w:val="28"/>
          <w:szCs w:val="28"/>
        </w:rPr>
        <w:t xml:space="preserve">ализации мероприятий регионального проекта «Производительность труда».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качестве приоритетного направления в сфере охраны окружающей среды определены ликвидация объектов размещения отходов и несанкционированных свалок, создание стационарных автоматических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постов мониторинга загрязнения атмосферного воздуха. В целях охраны природных ресурсов на системной основе будут проведены мероприятия по охране, защите и воспроизводству лесов.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сфере жилищно-коммунального хозяйства, ключевые направления бюджетной полит</w:t>
      </w:r>
      <w:r>
        <w:rPr>
          <w:rFonts w:ascii="Times New Roman" w:hAnsi="Times New Roman" w:cs="Times New Roman"/>
          <w:bCs/>
          <w:sz w:val="28"/>
          <w:szCs w:val="28"/>
        </w:rPr>
        <w:t xml:space="preserve">ики остаются ориентированными на государственную поддержку граждан, нуждающихся в улучшении жилищных условий. Особое внимание уделяется также вопросам ликвидации аварийного жилищного фонда, что является неотъемлемой частью повышения качества и безопасности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жилищного пространства.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Мероприятия по расселению граждан из аварийного жилищного фонда, признанного таковым с 1 января 2017 года, будут предусматривать, в том числе в части поэтапного переселения граждан, проживающих на территории Арктической зоны Россий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ской Федерации, из жилья, признанного аварийным до 1 сентября 2024 года.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привлечения средств федерального бюджета на модернизацию коммунальной инфраструктуры в автономном округе заключен меморандум между Министерством строительства и жилищно-коммун</w:t>
      </w:r>
      <w:r>
        <w:rPr>
          <w:rFonts w:ascii="Times New Roman" w:hAnsi="Times New Roman" w:cs="Times New Roman"/>
          <w:bCs/>
          <w:sz w:val="28"/>
          <w:szCs w:val="28"/>
        </w:rPr>
        <w:t xml:space="preserve">ального хозяйства Российской Федерации и Правительством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выполнения условий, предусмотренных меморандумом, будет продолжена реализация мероприятий, направленных на компенсацию недополученных доходов ресурсоснабжающим организациям, ко</w:t>
      </w:r>
      <w:r>
        <w:rPr>
          <w:rFonts w:ascii="Times New Roman" w:hAnsi="Times New Roman" w:cs="Times New Roman"/>
          <w:bCs/>
          <w:sz w:val="28"/>
          <w:szCs w:val="28"/>
        </w:rPr>
        <w:t xml:space="preserve">торые поставляют сжиженный газ и электроэнергию населению по социально ориентированным тарифам, организациям, осуществляющим регулируемый вид деятельности в сфере тепло-, водо- и водоотведения, из-за применения понижающих коэффициентов к нормативам потребл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ения коммунальных услуг, строительство и реконструкцию объектов коммунальной инфраструктуры, замену инженерных сетей.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Дополнительно предусмотрены расходы на реализацию мероприятий, направленных на предоставление субсидии исполнителям коммунальных услуг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возмещение недополученных доходов, связанных с предоставлением дополнительной меры социальной поддержки потребителям по оплате за коммунальную услугу по электроснабжению, в целях соблюдения индекса изменения размера платы граждан за коммунальные услуги, а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также на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 изменения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размера вносимой гражданами платы за коммунальные услуги.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строительство и реконструкцию объектов коммунальной инфраструктуры планируется привлечение средств казначейских инфраструктурных кредитов из федерального бюджета.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Бюджетные инвестиции из 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автономного округа в приоритетном порядке будут направлены на завершение ранее начатых строительством объектов, а также на разработку проектной документации по строительству социальных объектов.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ближайшей трехлетке планируется строительство 65 объектов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государственной и муниципальной собственности (коммунальной инфраструктуры – 30, образования – 15, здравоохранения – 6, физической культуры – 7, культуры – 3, пожарной безопасности – 1, экологической безопасности – 1, промышленности – 2), проектные и строи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тельные работы по 9 объектам (коммунальной инфраструктуры – 3, образования – 3, физической культуры – 2, здравоохранения – 1) и разработка проектной документации по 34 объектам (образования – 21, здравоохранения – 6, культуры – 2, коммунальной инфраструкту</w:t>
      </w:r>
      <w:r>
        <w:rPr>
          <w:rFonts w:ascii="Times New Roman" w:hAnsi="Times New Roman" w:cs="Times New Roman"/>
          <w:bCs/>
          <w:sz w:val="28"/>
          <w:szCs w:val="28"/>
        </w:rPr>
        <w:t xml:space="preserve">ры – 4, физической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культуры – 1).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Предусмотрены расходы на реализацию финансовоемких инвестиционных и инфраструктурных проектов: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инновационного научно-технологического центра «ЮНИТИ ПАРК»;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инвестиционного проекта «Промышленная площадка г. Нягань».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усло</w:t>
      </w:r>
      <w:r>
        <w:rPr>
          <w:rFonts w:ascii="Times New Roman" w:hAnsi="Times New Roman" w:cs="Times New Roman"/>
          <w:bCs/>
          <w:sz w:val="28"/>
          <w:szCs w:val="28"/>
        </w:rPr>
        <w:t xml:space="preserve">виях бюджетной консолидации необходимо пересмотреть перечень создаваемых объектов с учетом приоритетности, сроков разработки проектной документации и начала строительства объектов со сдвигом на последующие бюджетные периоды, при этом включение расходов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строительство объектов будет предусматриваться только при наличии проектной документации, получившей положительное заключение о достоверности определения сметной стоимости строительства.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предстоящем плановом периоде организация межбюджетных отношений в а</w:t>
      </w:r>
      <w:r>
        <w:rPr>
          <w:rFonts w:ascii="Times New Roman" w:hAnsi="Times New Roman" w:cs="Times New Roman"/>
          <w:bCs/>
          <w:sz w:val="28"/>
          <w:szCs w:val="28"/>
        </w:rPr>
        <w:t xml:space="preserve">втономном округе будет выстроена с учетом реализации Федерального закона от 20 марта 2025 года № 33-ФЗ «Об общих принципах организации местного самоуправления в единой системе публичной власти».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2026 – 2028 годах в системе межбюджетных отношений планируе</w:t>
      </w:r>
      <w:r>
        <w:rPr>
          <w:rFonts w:ascii="Times New Roman" w:hAnsi="Times New Roman" w:cs="Times New Roman"/>
          <w:bCs/>
          <w:sz w:val="28"/>
          <w:szCs w:val="28"/>
        </w:rPr>
        <w:t xml:space="preserve">тся, как и прежде, реализовывать меры, направленные на создание условий для поддержания бюджетной устойчивости и сбалансированности бюджетов муниципальных образований автономного округа, стимулирование к наращиванию налогового потенциала, эффективному муни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ципальному управлению.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Объемы «выравнивающих» межбюджетных трансфертов, целью предоставления которых является сокращение дифференциации в уровне бюджетной обеспеченности муниципальных образований автономного округа, проиндексированы в 2026 – 2028 годах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прогнозируемый уровень инфляции 4,0 %.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 учетом стабильности исполнения бюджетов муниципальных образований автономного округа с 2026 года предлагается изменить подходы к предоставлению дотации</w:t>
      </w:r>
      <w:r>
        <w:rPr>
          <w:rFonts w:eastAsia="Courier New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поддержку мер по обеспечению сбалансированности бюджет</w:t>
      </w:r>
      <w:r>
        <w:rPr>
          <w:sz w:val="28"/>
          <w:szCs w:val="28"/>
        </w:rPr>
        <w:t xml:space="preserve">ов муниципальных образований, исключив предоставление третьей части дотации на финансовое обеспечение расходных обязательств при недостатке доходов в ходе исполнения бюджетов муниципальных образований автономного округа.</w:t>
      </w:r>
      <w:r>
        <w:rPr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Продолжится предоставление муниципа</w:t>
      </w:r>
      <w:r>
        <w:rPr>
          <w:rFonts w:ascii="Times New Roman" w:hAnsi="Times New Roman" w:cs="Times New Roman"/>
          <w:bCs/>
          <w:sz w:val="28"/>
          <w:szCs w:val="28"/>
        </w:rPr>
        <w:t xml:space="preserve">льным образованиям дотации на поддержку мер по обеспечению сбалансированности бюджетов муниципальных образований в целях частичного обеспечения расходных обязательств муниципальных образований, связанных с: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повышением оплаты труда работников бюджетной сфер</w:t>
      </w:r>
      <w:r>
        <w:rPr>
          <w:rFonts w:ascii="Times New Roman" w:hAnsi="Times New Roman" w:cs="Times New Roman"/>
          <w:bCs/>
          <w:sz w:val="28"/>
          <w:szCs w:val="28"/>
        </w:rPr>
        <w:t xml:space="preserve">ы, в том числе в целях обеспечения достигнутого уровня соотношений оплаты труда отдельных категорий работников, подпадающих под действие указов № 597, № 761, № 1688;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индексацией фонда оплаты труда на 4 % с 1 октября 2026 года по категориям работников муниц</w:t>
      </w:r>
      <w:r>
        <w:rPr>
          <w:rFonts w:ascii="Times New Roman" w:hAnsi="Times New Roman" w:cs="Times New Roman"/>
          <w:bCs/>
          <w:sz w:val="28"/>
          <w:szCs w:val="28"/>
        </w:rPr>
        <w:t xml:space="preserve">ипальных учреждений, не подпадающим под действие указов № 597, № 761, № 1688;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повышением МРОТ с 1 января 2026 года;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обеспечением расходных обязательств муниципальных образований автономного округа на оплату труда работников муниципальных общеобразовательны</w:t>
      </w:r>
      <w:r>
        <w:rPr>
          <w:rFonts w:ascii="Times New Roman" w:hAnsi="Times New Roman" w:cs="Times New Roman"/>
          <w:bCs/>
          <w:sz w:val="28"/>
          <w:szCs w:val="28"/>
        </w:rPr>
        <w:t xml:space="preserve">х организаций и образовательных организаций дошкольного образования, не участвующих в реализации основных общеобразовательных программ в соответствии с федеральными государственными образовательными стандартами.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Сохраняется грантовая поддержка муниципальны</w:t>
      </w:r>
      <w:r>
        <w:rPr>
          <w:rFonts w:ascii="Times New Roman" w:hAnsi="Times New Roman" w:cs="Times New Roman"/>
          <w:bCs/>
          <w:sz w:val="28"/>
          <w:szCs w:val="28"/>
        </w:rPr>
        <w:t xml:space="preserve">х образований в целях стимулирования роста налогового потенциала и качества планирования доходов в муниципальных образованиях, поощрения достижения наилучших значений показателей деятельности органов местного самоуправления и высоких показателей качества у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правления муниципальными финансами.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стимулирования органов местного самоуправления муниципальных образований к обеспечению открытости и прозрачности муниципальных финансов, вовлечению граждан к непосредственному участию в осуществлении местного са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моуправления с 2026 года из бюджета автономного округа возобновится предоставление дотации муниципальным образованиям по результатам мониторинга реализации в муниципальных образованиях инициативных проектов.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Также первым двум муниципальным образованиям (г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ородскому округу и муниципальному району), достигшим наилучшие значения показателей деятельности органов местного самоуправления муниципальных образований автономного округа, из бюджета автономного округа дополнительно предоставляются иные межбюджетные тра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нсферты на создание памятных объектов малых архитектурных форм, организацию благоустройства территории, объектов социальной и иной инфраструктуры.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Объем субсидии бюджету города Ханты-Мансийска на осуществление функций административного центра автономного о</w:t>
      </w:r>
      <w:r>
        <w:rPr>
          <w:rFonts w:ascii="Times New Roman" w:hAnsi="Times New Roman" w:cs="Times New Roman"/>
          <w:bCs/>
          <w:sz w:val="28"/>
          <w:szCs w:val="28"/>
        </w:rPr>
        <w:t xml:space="preserve">круга рассчитывается с учетом коэффициента роста численности населения, применяемого к базовому объему субсидии в сумме 450 000,0 тыс. рублей.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бюджетов Белоярского и Березовского муниципальных районов, входящих в состав сухопутных территорий Арктическо</w:t>
      </w:r>
      <w:r>
        <w:rPr>
          <w:rFonts w:ascii="Times New Roman" w:hAnsi="Times New Roman" w:cs="Times New Roman"/>
          <w:bCs/>
          <w:sz w:val="28"/>
          <w:szCs w:val="28"/>
        </w:rPr>
        <w:t xml:space="preserve">й зоны Российской Федерации, изменен механизм софинансирования расходных обязательств из бюджета автономного округа. Для данных муниципальных образований предусмотрен единый предельный уровень софинансирования расходных обязательств в размере 99 % по всем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субсидиям, планируемым к предоставлению из бюджета автономного округа в 2026 – 2028 годах.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Раздел III. Основные направления долговой политики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Ханты-Мансийского автономного округа – Югры на 2026 год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на плановый период 2027 и 2028 годов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Основные направления долговой политики автономного округа сформированы с учетом положений пункта 13 статьи 107.1 Бюджетного кодекса Российской Федерации и определяют цели, задачи, приоритеты и общие направления деятельности по управлению государственным до</w:t>
      </w:r>
      <w:r>
        <w:rPr>
          <w:rFonts w:ascii="Times New Roman" w:hAnsi="Times New Roman" w:cs="Times New Roman"/>
          <w:bCs/>
          <w:sz w:val="28"/>
          <w:szCs w:val="28"/>
        </w:rPr>
        <w:t xml:space="preserve">лгом автономного округа в целях привлечения необходимых для развития автономного округа заемных ресурсов при поддержании приемлемых уровней риска и стоимости заимствований.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Итоги реализации долговой политики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Ханты-Мансийского автономного округа – Югры в </w:t>
      </w:r>
      <w:r>
        <w:rPr>
          <w:rFonts w:ascii="Times New Roman" w:hAnsi="Times New Roman" w:cs="Times New Roman"/>
          <w:bCs/>
          <w:sz w:val="28"/>
          <w:szCs w:val="28"/>
        </w:rPr>
        <w:t xml:space="preserve">2024 – 2025 годах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Долговая политика автономного округа в предшествующие годы способствовала поддержанию долговой нагрузки автономного округа на минимальном уровне. По итогам 2024 года автономный округ вошел в пятерку лидеров среди субъектов Российской Фед</w:t>
      </w:r>
      <w:r>
        <w:rPr>
          <w:rFonts w:ascii="Times New Roman" w:hAnsi="Times New Roman" w:cs="Times New Roman"/>
          <w:bCs/>
          <w:sz w:val="28"/>
          <w:szCs w:val="28"/>
        </w:rPr>
        <w:t xml:space="preserve">ерации по уровню долговой нагрузки.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Государственный долг автономного округа по состоянию на 1 января 2025 года увеличился по сравнению с 1 января 2024 года на 826,6 млн рублей и составил 11 014,3 млн рублей или 3,0 % от доходов бюджета автономного округа б</w:t>
      </w:r>
      <w:r>
        <w:rPr>
          <w:rFonts w:ascii="Times New Roman" w:hAnsi="Times New Roman" w:cs="Times New Roman"/>
          <w:bCs/>
          <w:sz w:val="28"/>
          <w:szCs w:val="28"/>
        </w:rPr>
        <w:t xml:space="preserve">ез учета безвозмездных поступлений.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структуре государственного долга автономного округа в 2024 году основную долю составляли бюджетные кредиты из федерального бюджета.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Расходы на обслуживание долговых обязательств автономного округа за 2024 год составили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363,9 млн рублей или 0,1 % от расходов бюджета автономного округа, за исключением объема расходов, которые осуществлялись за счет субвенций, предоставляемых из федерального бюджета.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итогам исполнения бюджета автономного округа за 2024 год ограничения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 уровню государственного долга и расходов на его обслуживание, установленные Бюджетным кодексом Российской Федерации, соблюдены.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2024 году автономным округом привлечен бюджетный кредит из федерального бюджета на финансовое обеспечение реализации инфраст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руктурных проектов автономного округа со сроком погашения в 2026 – 2039 годах и процентной ставкой в размере 3 % годовых в сумме 1 788,4 млн рублей.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2024 году погашены государственные облигации автономного округа 2017 года выпуска.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Погашение и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долговых обязательств автономного округа в 2024 году выполнены в установленный срок и в полном объеме.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состоянию на 1 января 2026 года государственный долг автономного округа прогнозируется на уровне порядка 17,9 % от доходов бюджета автономного округа без учета безвозмездных поступлений (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1 января 2025 года - 3,0 %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(норматив по БК)</w:t>
      </w:r>
      <w:r>
        <w:rPr>
          <w:rFonts w:ascii="Times New Roman" w:hAnsi="Times New Roman" w:cs="Times New Roman"/>
          <w:bCs/>
          <w:color w:val="7030a0"/>
          <w:sz w:val="28"/>
          <w:szCs w:val="28"/>
        </w:rPr>
      </w:r>
      <w:r>
        <w:rPr>
          <w:rFonts w:ascii="Times New Roman" w:hAnsi="Times New Roman" w:cs="Times New Roman"/>
          <w:bCs/>
          <w:color w:val="7030a0"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Вместе с тем, по результатам оценки Министерства финансов Российской Федерации в 2024 году автономный округ отнесен к группе субъектов Российской Федерации с высок</w:t>
      </w:r>
      <w:r>
        <w:rPr>
          <w:rFonts w:ascii="Times New Roman" w:hAnsi="Times New Roman" w:cs="Times New Roman"/>
          <w:bCs/>
          <w:sz w:val="28"/>
          <w:szCs w:val="28"/>
        </w:rPr>
        <w:t xml:space="preserve">им уровнем долговой устойчивости. 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обеспечения финансирования дефицита бюджета автономного округа в 2026 году и плановом периоде 2027 и 2028 годах планируется привлечение заемных средств. При этом все действующие приоритеты  долговой политики автономного округа будут сохранены и направлены на: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поддержан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ие объема государственного долга автономного округа на уровне, не превышающем 50 % от общего годового объема доходов бюджета автономного округа без учета объема безвозмездных поступлений;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поддержание суммы платежей по погашению и обслуживанию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долга автономного округа на уровне, не превышающем 13 % от общего объема налоговых и неналоговых доходов бюджета автономного округа и дотаций из бюджетов бюджетной системы Российской Федерации;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поддержание объема расходов на обслуживание государственно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го долга автономного округа на уровне, не превышающем 5 % от общего объема расходов бюджета автономного округа,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фи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нансовую обеспеченность бюджета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сохранение репутации автономного округа как надежного заемщика, безупречно и своевременно выполняющего финансовые обязательства (поддержание высокого уровня кредитного рейтинга);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доступности и</w:t>
      </w:r>
      <w:r>
        <w:rPr>
          <w:rFonts w:ascii="Times New Roman" w:hAnsi="Times New Roman" w:cs="Times New Roman"/>
          <w:bCs/>
          <w:sz w:val="28"/>
          <w:szCs w:val="28"/>
        </w:rPr>
        <w:t xml:space="preserve">нформации о государственном долге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Долговая политика автономного округа на 2026-2028 годы нацелена на эффективное и ответственное управлени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государственным долгом для поддержания сбалансированности и долговой устойчивости бюджета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этого необходимо обеспечить: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эффективность осуществления государственных заимствований;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поддержание безопасного уровня государственного долга и исключение рисков рефинансирования долговых обязательств;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гибкое реагирование на изменяющиеся условия финансовых рынков и использование наиболее оптимальных форм заимствований;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сдерживание роста расхо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дов на обслуживание государственного долга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доступность и открытость информации о проводимой заемной политике, долговых обязательствах и кредитном рейтинге автономного округа.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Инструменты реализации долговой политики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Ханты-Мансийского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автономного округа – Югры в 2026 – 2028 годах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Основными инструментами реализации долговой политики автономного округа являются: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мониторинг конъюнктуры долгового рынка;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мониторинг соответствия параметров государственного долга автономного округа ограничени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ям, установленным Бюджетным кодексом Российской Федерации и долговой политикой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осуществление заимствований и проведение операций с долговыми обязательствами, способствующих оптимизации структуры государственного долга и сокращению расхо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дов на его обслуживание;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организация учета долговых обязательств и операций с государственным долгом, исполнение долговых обязательств в соответствии с платежным графиком;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контроль, оценка и разработка мероприятий по минимизации рисков, возникающих в проце</w:t>
      </w:r>
      <w:r>
        <w:rPr>
          <w:rFonts w:ascii="Times New Roman" w:hAnsi="Times New Roman" w:cs="Times New Roman"/>
          <w:bCs/>
          <w:sz w:val="28"/>
          <w:szCs w:val="28"/>
        </w:rPr>
        <w:t xml:space="preserve">ссе управления государственным долгом.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качестве источников финансирования дефицита бюджета автономного округа в планируемом периоде будут рассматриваться заимствования в виде: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кредитов кредитных организаций, преимущественно в форме возобновляемых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невозобновляемых кредитных линий, позволяющих с учетом складывающейся динамики рыночной конъюнктуры оперативно управлять временными рамками кредитных обязательств и минимизировать процентные платежи;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государственных ценных бумаг, обеспечивающих возможность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гибкого управления относительно объемов заимствований и графиков платежей при среднесрочном планировании;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бюджетных кредитов, привлекаемых из федерального бюджета на финансовое обеспечение реализации инфраструктурных проектов автономного округа за счет вр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еменно свободных средств единого счета федерального бюджета.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Расходные обязательства автономного округа по обслуживанию государственного долга автономного округа в 2026 – 2028 годах будут определяться на основании действующих долговых обязательств, планир</w:t>
      </w:r>
      <w:r>
        <w:rPr>
          <w:rFonts w:ascii="Times New Roman" w:hAnsi="Times New Roman" w:cs="Times New Roman"/>
          <w:bCs/>
          <w:sz w:val="28"/>
          <w:szCs w:val="28"/>
        </w:rPr>
        <w:t xml:space="preserve">уемого объема и структуры заимствований, прогнозного уровня доходности государственных облигаций автономного округа и прогнозной стоимости кредитных ресурсов.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Анализ рисков для бюджета Ханты-Мансийского автономного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округа – Югры, возникающих в процессе у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правления государственным долгом Ханты-Мансийского автономного округа – Югры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осуществлении долговой политики, привлечении заимствований необходимо учитывать возможные риски, представляющие собой вероятность возникновения финансовых потерь бюджета авто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номного округа в результате наступления определенных событий или совершения определенных действий, которые не могут быть заранее предопределены.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основным рискам, которые могут возникнуть при управлении государственным долгом автономного округа, относятся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процентный риск – вероятность роста стоимости заимствований и объема расходов бюджета автономного округа на обслуживание государственного долга, обусловленная неустойчивостью рыночных процентных ставок;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риск ликвидности – сложность исполнения долговых об</w:t>
      </w:r>
      <w:r>
        <w:rPr>
          <w:rFonts w:ascii="Times New Roman" w:hAnsi="Times New Roman" w:cs="Times New Roman"/>
          <w:bCs/>
          <w:sz w:val="28"/>
          <w:szCs w:val="28"/>
        </w:rPr>
        <w:t xml:space="preserve">язательств в полном объеме и в установленный срок ввиду роста задолженности расходных и долговых обязательств автономного округа;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операционный риск – возникновение финансовых потерь в результате сбоев и недостатков информационных, технологических и иных си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стем, действий по некорректному оформлению документации при осуществлении заимствований, а также в результате чрезвычайных ситуаций, обстоятельств непреодолимой силы.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Основной целью управления финансовыми рисками является формирование стабильных и прогнози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руемых финансовых условий для реализации долговой политики автономного округа посредством разработки мероприятий, позволяющих минимизировать наступление рисковых событий и их последствия.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98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br w:type="page" w:clear="all"/>
      </w:r>
      <w:r>
        <w:rPr>
          <w:b w:val="0"/>
        </w:rPr>
        <w:t xml:space="preserve">Приложение 2</w:t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к распоряжению Правительства</w:t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Ханты-Мансийского </w:t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автон</w:t>
      </w:r>
      <w:r>
        <w:rPr>
          <w:b w:val="0"/>
        </w:rPr>
        <w:t xml:space="preserve">омного округа – Югры</w:t>
      </w:r>
      <w:r>
        <w:rPr>
          <w:b w:val="0"/>
        </w:rPr>
      </w:r>
    </w:p>
    <w:p>
      <w:pPr>
        <w:pStyle w:val="982"/>
        <w:ind w:firstLine="709"/>
        <w:rPr>
          <w:b w:val="0"/>
        </w:rPr>
      </w:pPr>
      <w:r>
        <w:rPr>
          <w:b w:val="0"/>
        </w:rPr>
        <w:t xml:space="preserve">от 14 октября 2025 года № 463-рп</w:t>
      </w:r>
      <w:r>
        <w:rPr>
          <w:b w:val="0"/>
        </w:rPr>
      </w:r>
    </w:p>
    <w:p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Характеристики бюджета Ханты-Мансийского автономного </w:t>
      </w:r>
      <w:r>
        <w:rPr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округа – Югры на 2026 год и на плановый период 2027 и 2028 годов</w:t>
      </w:r>
      <w:r>
        <w:rPr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тыс. рублей</w:t>
      </w:r>
      <w:r>
        <w:rPr>
          <w:sz w:val="28"/>
          <w:szCs w:val="28"/>
        </w:rPr>
      </w:r>
    </w:p>
    <w:tbl>
      <w:tblPr>
        <w:tblStyle w:val="1007"/>
        <w:tblW w:w="9068" w:type="dxa"/>
        <w:tblLook w:val="00A0" w:firstRow="1" w:lastRow="0" w:firstColumn="1" w:lastColumn="0" w:noHBand="0" w:noVBand="0"/>
      </w:tblPr>
      <w:tblGrid>
        <w:gridCol w:w="2689"/>
        <w:gridCol w:w="2127"/>
        <w:gridCol w:w="2126"/>
        <w:gridCol w:w="2126"/>
      </w:tblGrid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</w:t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</w:t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</w:t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год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</w:t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419 559 151,3</w:t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439 891 444,0</w:t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453 814 738,8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</w:t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478 708 346,2</w:t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484 531 869,8</w:t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485 876 857,8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268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Дефицит (-),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Профицит (+)</w:t>
            </w:r>
            <w:r>
              <w:rPr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-59 149 194,9</w:t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-44 640 425,8 </w:t>
            </w:r>
            <w:r>
              <w:rPr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- 32 062 119,0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even" r:id="rId11"/>
      <w:footnotePr/>
      <w:endnotePr/>
      <w:type w:val="nextPage"/>
      <w:pgSz w:w="11909" w:h="16838" w:orient="portrait"/>
      <w:pgMar w:top="1418" w:right="1276" w:bottom="1134" w:left="1559" w:header="567" w:footer="567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Verdana">
    <w:panose1 w:val="020B0604030504040204"/>
  </w:font>
  <w:font w:name="Calibri">
    <w:panose1 w:val="020F0502020204030204"/>
  </w:font>
  <w:font w:name="Zhikaryov">
    <w:panose1 w:val="02000603000000000000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Courier New">
    <w:panose1 w:val="020703090202050204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  <w:rPr>
        <w:sz w:val="16"/>
        <w:szCs w:val="16"/>
      </w:rPr>
    </w:pPr>
    <w:r>
      <w:rPr>
        <w:sz w:val="16"/>
        <w:szCs w:val="16"/>
      </w:rPr>
      <w:t xml:space="preserve">нв</w:t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12994274"/>
      <w:docPartObj>
        <w:docPartGallery w:val="Page Numbers (Top of Page)"/>
        <w:docPartUnique w:val="true"/>
      </w:docPartObj>
      <w:rPr/>
    </w:sdtPr>
    <w:sdtContent>
      <w:p>
        <w:pPr>
          <w:pStyle w:val="96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153" w:hanging="72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05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34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61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53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8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165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801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63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153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53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95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9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285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62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9264" w:hanging="2160"/>
      </w:pPr>
      <w:rPr>
        <w:rFonts w:hint="default"/>
      </w:rPr>
    </w:lvl>
  </w:abstractNum>
  <w:num w:numId="1">
    <w:abstractNumId w:val="23"/>
  </w:num>
  <w:num w:numId="2">
    <w:abstractNumId w:val="11"/>
  </w:num>
  <w:num w:numId="3">
    <w:abstractNumId w:val="24"/>
  </w:num>
  <w:num w:numId="4">
    <w:abstractNumId w:val="20"/>
  </w:num>
  <w:num w:numId="5">
    <w:abstractNumId w:val="5"/>
  </w:num>
  <w:num w:numId="6">
    <w:abstractNumId w:val="18"/>
  </w:num>
  <w:num w:numId="7">
    <w:abstractNumId w:val="22"/>
  </w:num>
  <w:num w:numId="8">
    <w:abstractNumId w:val="14"/>
  </w:num>
  <w:num w:numId="9">
    <w:abstractNumId w:val="25"/>
  </w:num>
  <w:num w:numId="10">
    <w:abstractNumId w:val="6"/>
  </w:num>
  <w:num w:numId="11">
    <w:abstractNumId w:val="31"/>
  </w:num>
  <w:num w:numId="12">
    <w:abstractNumId w:val="17"/>
  </w:num>
  <w:num w:numId="13">
    <w:abstractNumId w:val="29"/>
  </w:num>
  <w:num w:numId="14">
    <w:abstractNumId w:val="4"/>
  </w:num>
  <w:num w:numId="15">
    <w:abstractNumId w:val="19"/>
  </w:num>
  <w:num w:numId="16">
    <w:abstractNumId w:val="7"/>
  </w:num>
  <w:num w:numId="17">
    <w:abstractNumId w:val="30"/>
  </w:num>
  <w:num w:numId="18">
    <w:abstractNumId w:val="13"/>
  </w:num>
  <w:num w:numId="19">
    <w:abstractNumId w:val="0"/>
  </w:num>
  <w:num w:numId="20">
    <w:abstractNumId w:val="28"/>
  </w:num>
  <w:num w:numId="21">
    <w:abstractNumId w:val="15"/>
  </w:num>
  <w:num w:numId="22">
    <w:abstractNumId w:val="21"/>
  </w:num>
  <w:num w:numId="23">
    <w:abstractNumId w:val="1"/>
  </w:num>
  <w:num w:numId="24">
    <w:abstractNumId w:val="8"/>
  </w:num>
  <w:num w:numId="25">
    <w:abstractNumId w:val="12"/>
  </w:num>
  <w:num w:numId="26">
    <w:abstractNumId w:val="26"/>
  </w:num>
  <w:num w:numId="27">
    <w:abstractNumId w:val="27"/>
  </w:num>
  <w:num w:numId="28">
    <w:abstractNumId w:val="9"/>
  </w:num>
  <w:num w:numId="29">
    <w:abstractNumId w:val="2"/>
  </w:num>
  <w:num w:numId="30">
    <w:abstractNumId w:val="10"/>
  </w:num>
  <w:num w:numId="31">
    <w:abstractNumId w:val="16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ourier New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5" w:default="1">
    <w:name w:val="Normal"/>
    <w:qFormat/>
    <w:rPr>
      <w:rFonts w:eastAsia="Times New Roman"/>
    </w:rPr>
  </w:style>
  <w:style w:type="paragraph" w:styleId="766">
    <w:name w:val="Heading 1"/>
    <w:basedOn w:val="765"/>
    <w:next w:val="765"/>
    <w:link w:val="975"/>
    <w:uiPriority w:val="9"/>
    <w:qFormat/>
    <w:pPr>
      <w:keepNext/>
      <w:outlineLvl w:val="0"/>
    </w:pPr>
    <w:rPr>
      <w:rFonts w:ascii="Cambria" w:hAnsi="Cambria"/>
      <w:b/>
      <w:bCs/>
      <w:sz w:val="32"/>
      <w:szCs w:val="32"/>
    </w:rPr>
  </w:style>
  <w:style w:type="paragraph" w:styleId="767">
    <w:name w:val="Heading 2"/>
    <w:basedOn w:val="765"/>
    <w:next w:val="765"/>
    <w:link w:val="97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68">
    <w:name w:val="Heading 3"/>
    <w:basedOn w:val="765"/>
    <w:next w:val="765"/>
    <w:link w:val="977"/>
    <w:uiPriority w:val="9"/>
    <w:qFormat/>
    <w:pPr>
      <w:jc w:val="center"/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769">
    <w:name w:val="Heading 4"/>
    <w:basedOn w:val="765"/>
    <w:next w:val="765"/>
    <w:link w:val="8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765"/>
    <w:next w:val="765"/>
    <w:link w:val="8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1">
    <w:name w:val="Heading 6"/>
    <w:basedOn w:val="765"/>
    <w:next w:val="765"/>
    <w:link w:val="8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2">
    <w:name w:val="Heading 7"/>
    <w:basedOn w:val="765"/>
    <w:next w:val="765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765"/>
    <w:next w:val="765"/>
    <w:link w:val="8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765"/>
    <w:next w:val="765"/>
    <w:link w:val="8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 w:default="1">
    <w:name w:val="Default Paragraph Font"/>
    <w:uiPriority w:val="1"/>
    <w:semiHidden/>
    <w:unhideWhenUsed/>
  </w:style>
  <w:style w:type="table" w:styleId="7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7" w:default="1">
    <w:name w:val="No List"/>
    <w:uiPriority w:val="99"/>
    <w:semiHidden/>
    <w:unhideWhenUsed/>
  </w:style>
  <w:style w:type="character" w:styleId="778" w:customStyle="1">
    <w:name w:val="Heading 4 Char"/>
    <w:basedOn w:val="775"/>
    <w:uiPriority w:val="9"/>
    <w:rPr>
      <w:rFonts w:ascii="Arial" w:hAnsi="Arial" w:eastAsia="Arial" w:cs="Arial"/>
      <w:b/>
      <w:bCs/>
      <w:sz w:val="26"/>
      <w:szCs w:val="26"/>
    </w:rPr>
  </w:style>
  <w:style w:type="character" w:styleId="779" w:customStyle="1">
    <w:name w:val="Heading 5 Char"/>
    <w:basedOn w:val="775"/>
    <w:uiPriority w:val="9"/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Heading 6 Char"/>
    <w:basedOn w:val="775"/>
    <w:uiPriority w:val="9"/>
    <w:rPr>
      <w:rFonts w:ascii="Arial" w:hAnsi="Arial" w:eastAsia="Arial" w:cs="Arial"/>
      <w:b/>
      <w:bCs/>
      <w:sz w:val="22"/>
      <w:szCs w:val="22"/>
    </w:rPr>
  </w:style>
  <w:style w:type="character" w:styleId="781" w:customStyle="1">
    <w:name w:val="Heading 7 Char"/>
    <w:basedOn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2" w:customStyle="1">
    <w:name w:val="Heading 8 Char"/>
    <w:basedOn w:val="775"/>
    <w:uiPriority w:val="9"/>
    <w:rPr>
      <w:rFonts w:ascii="Arial" w:hAnsi="Arial" w:eastAsia="Arial" w:cs="Arial"/>
      <w:i/>
      <w:iCs/>
      <w:sz w:val="22"/>
      <w:szCs w:val="22"/>
    </w:rPr>
  </w:style>
  <w:style w:type="character" w:styleId="783" w:customStyle="1">
    <w:name w:val="Heading 9 Char"/>
    <w:basedOn w:val="775"/>
    <w:uiPriority w:val="9"/>
    <w:rPr>
      <w:rFonts w:ascii="Arial" w:hAnsi="Arial" w:eastAsia="Arial" w:cs="Arial"/>
      <w:i/>
      <w:iCs/>
      <w:sz w:val="21"/>
      <w:szCs w:val="21"/>
    </w:rPr>
  </w:style>
  <w:style w:type="character" w:styleId="784" w:customStyle="1">
    <w:name w:val="Subtitle Char"/>
    <w:basedOn w:val="775"/>
    <w:uiPriority w:val="11"/>
    <w:rPr>
      <w:sz w:val="24"/>
      <w:szCs w:val="24"/>
    </w:rPr>
  </w:style>
  <w:style w:type="character" w:styleId="785" w:customStyle="1">
    <w:name w:val="Quote Char"/>
    <w:uiPriority w:val="29"/>
    <w:rPr>
      <w:i/>
    </w:rPr>
  </w:style>
  <w:style w:type="character" w:styleId="786" w:customStyle="1">
    <w:name w:val="Intense Quote Char"/>
    <w:uiPriority w:val="30"/>
    <w:rPr>
      <w:i/>
    </w:rPr>
  </w:style>
  <w:style w:type="table" w:styleId="787">
    <w:name w:val="Plain Table 1"/>
    <w:basedOn w:val="77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basedOn w:val="77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basedOn w:val="77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2"/>
    <w:basedOn w:val="77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"/>
    <w:basedOn w:val="77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77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5 Dark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7">
    <w:name w:val="Grid Table 6 Colorful"/>
    <w:basedOn w:val="77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8">
    <w:name w:val="Grid Table 7 Colorful"/>
    <w:basedOn w:val="77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>
    <w:name w:val="List Table 1 Light"/>
    <w:basedOn w:val="77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77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77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77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77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basedOn w:val="77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>
    <w:name w:val="List Table 7 Colorful"/>
    <w:basedOn w:val="77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806" w:customStyle="1">
    <w:name w:val="Endnote Text Char"/>
    <w:uiPriority w:val="99"/>
    <w:rPr>
      <w:sz w:val="20"/>
    </w:rPr>
  </w:style>
  <w:style w:type="character" w:styleId="807" w:customStyle="1">
    <w:name w:val="Heading 1 Char"/>
    <w:basedOn w:val="775"/>
    <w:uiPriority w:val="9"/>
    <w:rPr>
      <w:rFonts w:ascii="Arial" w:hAnsi="Arial" w:eastAsia="Arial" w:cs="Arial"/>
      <w:sz w:val="40"/>
      <w:szCs w:val="40"/>
    </w:rPr>
  </w:style>
  <w:style w:type="character" w:styleId="808" w:customStyle="1">
    <w:name w:val="Heading 2 Char"/>
    <w:basedOn w:val="775"/>
    <w:uiPriority w:val="9"/>
    <w:rPr>
      <w:rFonts w:ascii="Arial" w:hAnsi="Arial" w:eastAsia="Arial" w:cs="Arial"/>
      <w:sz w:val="34"/>
    </w:rPr>
  </w:style>
  <w:style w:type="character" w:styleId="809" w:customStyle="1">
    <w:name w:val="Heading 3 Char"/>
    <w:basedOn w:val="775"/>
    <w:uiPriority w:val="9"/>
    <w:rPr>
      <w:rFonts w:ascii="Arial" w:hAnsi="Arial" w:eastAsia="Arial" w:cs="Arial"/>
      <w:sz w:val="30"/>
      <w:szCs w:val="30"/>
    </w:rPr>
  </w:style>
  <w:style w:type="character" w:styleId="810" w:customStyle="1">
    <w:name w:val="Заголовок 4 Знак"/>
    <w:basedOn w:val="775"/>
    <w:link w:val="769"/>
    <w:uiPriority w:val="9"/>
    <w:rPr>
      <w:rFonts w:ascii="Arial" w:hAnsi="Arial" w:eastAsia="Arial" w:cs="Arial"/>
      <w:b/>
      <w:bCs/>
      <w:sz w:val="26"/>
      <w:szCs w:val="26"/>
    </w:rPr>
  </w:style>
  <w:style w:type="character" w:styleId="811" w:customStyle="1">
    <w:name w:val="Заголовок 5 Знак"/>
    <w:basedOn w:val="775"/>
    <w:link w:val="770"/>
    <w:uiPriority w:val="9"/>
    <w:rPr>
      <w:rFonts w:ascii="Arial" w:hAnsi="Arial" w:eastAsia="Arial" w:cs="Arial"/>
      <w:b/>
      <w:bCs/>
      <w:sz w:val="24"/>
      <w:szCs w:val="24"/>
    </w:rPr>
  </w:style>
  <w:style w:type="character" w:styleId="812" w:customStyle="1">
    <w:name w:val="Заголовок 6 Знак"/>
    <w:basedOn w:val="775"/>
    <w:link w:val="771"/>
    <w:uiPriority w:val="9"/>
    <w:rPr>
      <w:rFonts w:ascii="Arial" w:hAnsi="Arial" w:eastAsia="Arial" w:cs="Arial"/>
      <w:b/>
      <w:bCs/>
      <w:sz w:val="22"/>
      <w:szCs w:val="22"/>
    </w:rPr>
  </w:style>
  <w:style w:type="character" w:styleId="813" w:customStyle="1">
    <w:name w:val="Заголовок 7 Знак"/>
    <w:basedOn w:val="775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4" w:customStyle="1">
    <w:name w:val="Заголовок 8 Знак"/>
    <w:basedOn w:val="775"/>
    <w:link w:val="773"/>
    <w:uiPriority w:val="9"/>
    <w:rPr>
      <w:rFonts w:ascii="Arial" w:hAnsi="Arial" w:eastAsia="Arial" w:cs="Arial"/>
      <w:i/>
      <w:iCs/>
      <w:sz w:val="22"/>
      <w:szCs w:val="22"/>
    </w:rPr>
  </w:style>
  <w:style w:type="character" w:styleId="815" w:customStyle="1">
    <w:name w:val="Заголовок 9 Знак"/>
    <w:basedOn w:val="775"/>
    <w:link w:val="774"/>
    <w:uiPriority w:val="9"/>
    <w:rPr>
      <w:rFonts w:ascii="Arial" w:hAnsi="Arial" w:eastAsia="Arial" w:cs="Arial"/>
      <w:i/>
      <w:iCs/>
      <w:sz w:val="21"/>
      <w:szCs w:val="21"/>
    </w:rPr>
  </w:style>
  <w:style w:type="character" w:styleId="816" w:customStyle="1">
    <w:name w:val="Title Char"/>
    <w:basedOn w:val="775"/>
    <w:uiPriority w:val="10"/>
    <w:rPr>
      <w:sz w:val="48"/>
      <w:szCs w:val="48"/>
    </w:rPr>
  </w:style>
  <w:style w:type="paragraph" w:styleId="817">
    <w:name w:val="Subtitle"/>
    <w:basedOn w:val="765"/>
    <w:next w:val="765"/>
    <w:link w:val="818"/>
    <w:uiPriority w:val="11"/>
    <w:qFormat/>
    <w:pPr>
      <w:spacing w:before="200" w:after="200"/>
    </w:pPr>
    <w:rPr>
      <w:sz w:val="24"/>
      <w:szCs w:val="24"/>
    </w:rPr>
  </w:style>
  <w:style w:type="character" w:styleId="818" w:customStyle="1">
    <w:name w:val="Подзаголовок Знак"/>
    <w:basedOn w:val="775"/>
    <w:link w:val="817"/>
    <w:uiPriority w:val="11"/>
    <w:rPr>
      <w:sz w:val="24"/>
      <w:szCs w:val="24"/>
    </w:rPr>
  </w:style>
  <w:style w:type="paragraph" w:styleId="819">
    <w:name w:val="Quote"/>
    <w:basedOn w:val="765"/>
    <w:next w:val="765"/>
    <w:link w:val="820"/>
    <w:uiPriority w:val="29"/>
    <w:qFormat/>
    <w:pPr>
      <w:ind w:left="720" w:right="720"/>
    </w:pPr>
    <w:rPr>
      <w:i/>
    </w:rPr>
  </w:style>
  <w:style w:type="character" w:styleId="820" w:customStyle="1">
    <w:name w:val="Цитата 2 Знак"/>
    <w:link w:val="819"/>
    <w:uiPriority w:val="29"/>
    <w:rPr>
      <w:i/>
    </w:rPr>
  </w:style>
  <w:style w:type="paragraph" w:styleId="821">
    <w:name w:val="Intense Quote"/>
    <w:basedOn w:val="765"/>
    <w:next w:val="765"/>
    <w:link w:val="8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2" w:customStyle="1">
    <w:name w:val="Выделенная цитата Знак"/>
    <w:link w:val="821"/>
    <w:uiPriority w:val="30"/>
    <w:rPr>
      <w:i/>
    </w:rPr>
  </w:style>
  <w:style w:type="character" w:styleId="823" w:customStyle="1">
    <w:name w:val="Header Char"/>
    <w:basedOn w:val="775"/>
    <w:uiPriority w:val="99"/>
  </w:style>
  <w:style w:type="character" w:styleId="824" w:customStyle="1">
    <w:name w:val="Footer Char"/>
    <w:basedOn w:val="775"/>
    <w:uiPriority w:val="99"/>
  </w:style>
  <w:style w:type="paragraph" w:styleId="825">
    <w:name w:val="Caption"/>
    <w:basedOn w:val="765"/>
    <w:next w:val="76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26" w:customStyle="1">
    <w:name w:val="Caption Char"/>
    <w:uiPriority w:val="99"/>
  </w:style>
  <w:style w:type="table" w:styleId="827" w:customStyle="1">
    <w:name w:val="Table Grid Light"/>
    <w:basedOn w:val="77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8" w:customStyle="1">
    <w:name w:val="Таблица простая 11"/>
    <w:basedOn w:val="77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 w:customStyle="1">
    <w:name w:val="Таблица простая 21"/>
    <w:basedOn w:val="77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 w:customStyle="1">
    <w:name w:val="Таблица простая 31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1" w:customStyle="1">
    <w:name w:val="Таблица простая 41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Таблица простая 51"/>
    <w:basedOn w:val="77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3" w:customStyle="1">
    <w:name w:val="Таблица-сетка 1 светлая1"/>
    <w:basedOn w:val="77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1"/>
    <w:basedOn w:val="77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1 Light - Accent 2"/>
    <w:basedOn w:val="77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Grid Table 1 Light - Accent 3"/>
    <w:basedOn w:val="77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Grid Table 1 Light - Accent 4"/>
    <w:basedOn w:val="77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1 Light - Accent 5"/>
    <w:basedOn w:val="77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6"/>
    <w:basedOn w:val="77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Таблица-сетка 21"/>
    <w:basedOn w:val="77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1"/>
    <w:basedOn w:val="77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2 - Accent 2"/>
    <w:basedOn w:val="77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2 - Accent 3"/>
    <w:basedOn w:val="77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2 - Accent 4"/>
    <w:basedOn w:val="77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2 - Accent 5"/>
    <w:basedOn w:val="77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6"/>
    <w:basedOn w:val="77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Таблица-сетка 31"/>
    <w:basedOn w:val="77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1"/>
    <w:basedOn w:val="77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3 - Accent 2"/>
    <w:basedOn w:val="77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3 - Accent 3"/>
    <w:basedOn w:val="77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3 - Accent 4"/>
    <w:basedOn w:val="77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 - Accent 5"/>
    <w:basedOn w:val="77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6"/>
    <w:basedOn w:val="77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Таблица-сетка 41"/>
    <w:basedOn w:val="77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5" w:customStyle="1">
    <w:name w:val="Grid Table 4 - Accent 1"/>
    <w:basedOn w:val="776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56" w:customStyle="1">
    <w:name w:val="Grid Table 4 - Accent 2"/>
    <w:basedOn w:val="776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57" w:customStyle="1">
    <w:name w:val="Grid Table 4 - Accent 3"/>
    <w:basedOn w:val="776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58" w:customStyle="1">
    <w:name w:val="Grid Table 4 - Accent 4"/>
    <w:basedOn w:val="776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59" w:customStyle="1">
    <w:name w:val="Grid Table 4 - Accent 5"/>
    <w:basedOn w:val="776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60" w:customStyle="1">
    <w:name w:val="Grid Table 4 - Accent 6"/>
    <w:basedOn w:val="77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61" w:customStyle="1">
    <w:name w:val="Таблица-сетка 5 темная1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- Accent 1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5 Dark - Accent 2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64" w:customStyle="1">
    <w:name w:val="Grid Table 5 Dark - Accent 3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65" w:customStyle="1">
    <w:name w:val="Grid Table 5 Dark- Accent 4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5 Dark - Accent 5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 - Accent 6"/>
    <w:basedOn w:val="77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68" w:customStyle="1">
    <w:name w:val="Таблица-сетка 6 цветная1"/>
    <w:basedOn w:val="77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9" w:customStyle="1">
    <w:name w:val="Grid Table 6 Colorful - Accent 1"/>
    <w:basedOn w:val="776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70" w:customStyle="1">
    <w:name w:val="Grid Table 6 Colorful - Accent 2"/>
    <w:basedOn w:val="77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71" w:customStyle="1">
    <w:name w:val="Grid Table 6 Colorful - Accent 3"/>
    <w:basedOn w:val="776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72" w:customStyle="1">
    <w:name w:val="Grid Table 6 Colorful - Accent 4"/>
    <w:basedOn w:val="77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73" w:customStyle="1">
    <w:name w:val="Grid Table 6 Colorful - Accent 5"/>
    <w:basedOn w:val="776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4" w:customStyle="1">
    <w:name w:val="Grid Table 6 Colorful - Accent 6"/>
    <w:basedOn w:val="77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5" w:customStyle="1">
    <w:name w:val="Таблица-сетка 7 цветная1"/>
    <w:basedOn w:val="77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6" w:customStyle="1">
    <w:name w:val="Grid Table 7 Colorful - Accent 1"/>
    <w:basedOn w:val="776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7" w:customStyle="1">
    <w:name w:val="Grid Table 7 Colorful - Accent 2"/>
    <w:basedOn w:val="776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8" w:customStyle="1">
    <w:name w:val="Grid Table 7 Colorful - Accent 3"/>
    <w:basedOn w:val="776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9" w:customStyle="1">
    <w:name w:val="Grid Table 7 Colorful - Accent 4"/>
    <w:basedOn w:val="776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0" w:customStyle="1">
    <w:name w:val="Grid Table 7 Colorful - Accent 5"/>
    <w:basedOn w:val="776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1" w:customStyle="1">
    <w:name w:val="Grid Table 7 Colorful - Accent 6"/>
    <w:basedOn w:val="77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2" w:customStyle="1">
    <w:name w:val="Список-таблица 1 светлая1"/>
    <w:basedOn w:val="77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1"/>
    <w:basedOn w:val="776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1 Light - Accent 2"/>
    <w:basedOn w:val="776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1 Light - Accent 3"/>
    <w:basedOn w:val="776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1 Light - Accent 4"/>
    <w:basedOn w:val="776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1 Light - Accent 5"/>
    <w:basedOn w:val="776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6"/>
    <w:basedOn w:val="776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Список-таблица 21"/>
    <w:basedOn w:val="77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1"/>
    <w:basedOn w:val="776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91" w:customStyle="1">
    <w:name w:val="List Table 2 - Accent 2"/>
    <w:basedOn w:val="776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92" w:customStyle="1">
    <w:name w:val="List Table 2 - Accent 3"/>
    <w:basedOn w:val="776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93" w:customStyle="1">
    <w:name w:val="List Table 2 - Accent 4"/>
    <w:basedOn w:val="776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94" w:customStyle="1">
    <w:name w:val="List Table 2 - Accent 5"/>
    <w:basedOn w:val="776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6"/>
    <w:basedOn w:val="77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96" w:customStyle="1">
    <w:name w:val="Список-таблица 31"/>
    <w:basedOn w:val="77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1"/>
    <w:basedOn w:val="776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3 - Accent 2"/>
    <w:basedOn w:val="77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3 - Accent 3"/>
    <w:basedOn w:val="776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3 - Accent 4"/>
    <w:basedOn w:val="77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3 - Accent 5"/>
    <w:basedOn w:val="776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6"/>
    <w:basedOn w:val="77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Список-таблица 41"/>
    <w:basedOn w:val="77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1"/>
    <w:basedOn w:val="776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4 - Accent 2"/>
    <w:basedOn w:val="776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4 - Accent 3"/>
    <w:basedOn w:val="776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4 - Accent 4"/>
    <w:basedOn w:val="776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 - Accent 5"/>
    <w:basedOn w:val="776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6"/>
    <w:basedOn w:val="77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Список-таблица 5 темная1"/>
    <w:basedOn w:val="77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1"/>
    <w:basedOn w:val="776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5 Dark - Accent 2"/>
    <w:basedOn w:val="776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3" w:customStyle="1">
    <w:name w:val="List Table 5 Dark - Accent 3"/>
    <w:basedOn w:val="776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List Table 5 Dark - Accent 4"/>
    <w:basedOn w:val="776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5 Dark - Accent 5"/>
    <w:basedOn w:val="776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6"/>
    <w:basedOn w:val="77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 w:customStyle="1">
    <w:name w:val="Список-таблица 6 цветная1"/>
    <w:basedOn w:val="77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8" w:customStyle="1">
    <w:name w:val="List Table 6 Colorful - Accent 1"/>
    <w:basedOn w:val="776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19" w:customStyle="1">
    <w:name w:val="List Table 6 Colorful - Accent 2"/>
    <w:basedOn w:val="776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20" w:customStyle="1">
    <w:name w:val="List Table 6 Colorful - Accent 3"/>
    <w:basedOn w:val="776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21" w:customStyle="1">
    <w:name w:val="List Table 6 Colorful - Accent 4"/>
    <w:basedOn w:val="776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22" w:customStyle="1">
    <w:name w:val="List Table 6 Colorful - Accent 5"/>
    <w:basedOn w:val="776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23" w:customStyle="1">
    <w:name w:val="List Table 6 Colorful - Accent 6"/>
    <w:basedOn w:val="77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24" w:customStyle="1">
    <w:name w:val="Список-таблица 7 цветная1"/>
    <w:basedOn w:val="77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5" w:customStyle="1">
    <w:name w:val="List Table 7 Colorful - Accent 1"/>
    <w:basedOn w:val="776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6" w:customStyle="1">
    <w:name w:val="List Table 7 Colorful - Accent 2"/>
    <w:basedOn w:val="776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7" w:customStyle="1">
    <w:name w:val="List Table 7 Colorful - Accent 3"/>
    <w:basedOn w:val="776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8" w:customStyle="1">
    <w:name w:val="List Table 7 Colorful - Accent 4"/>
    <w:basedOn w:val="776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9" w:customStyle="1">
    <w:name w:val="List Table 7 Colorful - Accent 5"/>
    <w:basedOn w:val="776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0" w:customStyle="1">
    <w:name w:val="List Table 7 Colorful - Accent 6"/>
    <w:basedOn w:val="77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1" w:customStyle="1">
    <w:name w:val="Lined - Accent"/>
    <w:basedOn w:val="77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2" w:customStyle="1">
    <w:name w:val="Lined - Accent 1"/>
    <w:basedOn w:val="77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33" w:customStyle="1">
    <w:name w:val="Lined - Accent 2"/>
    <w:basedOn w:val="77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4" w:customStyle="1">
    <w:name w:val="Lined - Accent 3"/>
    <w:basedOn w:val="77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5" w:customStyle="1">
    <w:name w:val="Lined - Accent 4"/>
    <w:basedOn w:val="77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6" w:customStyle="1">
    <w:name w:val="Lined - Accent 5"/>
    <w:basedOn w:val="77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37" w:customStyle="1">
    <w:name w:val="Lined - Accent 6"/>
    <w:basedOn w:val="77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8" w:customStyle="1">
    <w:name w:val="Bordered &amp; Lined - Accent"/>
    <w:basedOn w:val="77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9" w:customStyle="1">
    <w:name w:val="Bordered &amp; Lined - Accent 1"/>
    <w:basedOn w:val="776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0" w:customStyle="1">
    <w:name w:val="Bordered &amp; Lined - Accent 2"/>
    <w:basedOn w:val="776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1" w:customStyle="1">
    <w:name w:val="Bordered &amp; Lined - Accent 3"/>
    <w:basedOn w:val="776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2" w:customStyle="1">
    <w:name w:val="Bordered &amp; Lined - Accent 4"/>
    <w:basedOn w:val="776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3" w:customStyle="1">
    <w:name w:val="Bordered &amp; Lined - Accent 5"/>
    <w:basedOn w:val="776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4" w:customStyle="1">
    <w:name w:val="Bordered &amp; Lined - Accent 6"/>
    <w:basedOn w:val="776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5" w:customStyle="1">
    <w:name w:val="Bordered"/>
    <w:basedOn w:val="77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6" w:customStyle="1">
    <w:name w:val="Bordered - Accent 1"/>
    <w:basedOn w:val="77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47" w:customStyle="1">
    <w:name w:val="Bordered - Accent 2"/>
    <w:basedOn w:val="77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48" w:customStyle="1">
    <w:name w:val="Bordered - Accent 3"/>
    <w:basedOn w:val="77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49" w:customStyle="1">
    <w:name w:val="Bordered - Accent 4"/>
    <w:basedOn w:val="77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50" w:customStyle="1">
    <w:name w:val="Bordered - Accent 5"/>
    <w:basedOn w:val="77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51" w:customStyle="1">
    <w:name w:val="Bordered - Accent 6"/>
    <w:basedOn w:val="77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52">
    <w:name w:val="Hyperlink"/>
    <w:uiPriority w:val="99"/>
    <w:unhideWhenUsed/>
    <w:rPr>
      <w:color w:val="0563c1" w:themeColor="hyperlink"/>
      <w:u w:val="single"/>
    </w:rPr>
  </w:style>
  <w:style w:type="character" w:styleId="953" w:customStyle="1">
    <w:name w:val="Footnote Text Char"/>
    <w:uiPriority w:val="99"/>
    <w:rPr>
      <w:sz w:val="18"/>
    </w:rPr>
  </w:style>
  <w:style w:type="paragraph" w:styleId="954">
    <w:name w:val="endnote text"/>
    <w:basedOn w:val="765"/>
    <w:link w:val="955"/>
    <w:uiPriority w:val="99"/>
    <w:semiHidden/>
    <w:unhideWhenUsed/>
  </w:style>
  <w:style w:type="character" w:styleId="955" w:customStyle="1">
    <w:name w:val="Текст концевой сноски Знак"/>
    <w:link w:val="954"/>
    <w:uiPriority w:val="99"/>
    <w:rPr>
      <w:sz w:val="20"/>
    </w:rPr>
  </w:style>
  <w:style w:type="character" w:styleId="956">
    <w:name w:val="endnote reference"/>
    <w:basedOn w:val="775"/>
    <w:uiPriority w:val="99"/>
    <w:semiHidden/>
    <w:unhideWhenUsed/>
    <w:rPr>
      <w:vertAlign w:val="superscript"/>
    </w:rPr>
  </w:style>
  <w:style w:type="paragraph" w:styleId="957">
    <w:name w:val="toc 1"/>
    <w:basedOn w:val="765"/>
    <w:next w:val="765"/>
    <w:uiPriority w:val="39"/>
    <w:unhideWhenUsed/>
    <w:pPr>
      <w:spacing w:after="57"/>
    </w:pPr>
  </w:style>
  <w:style w:type="paragraph" w:styleId="958">
    <w:name w:val="toc 2"/>
    <w:basedOn w:val="765"/>
    <w:next w:val="765"/>
    <w:uiPriority w:val="39"/>
    <w:unhideWhenUsed/>
    <w:pPr>
      <w:ind w:left="283"/>
      <w:spacing w:after="57"/>
    </w:pPr>
  </w:style>
  <w:style w:type="paragraph" w:styleId="959">
    <w:name w:val="toc 3"/>
    <w:basedOn w:val="765"/>
    <w:next w:val="765"/>
    <w:uiPriority w:val="39"/>
    <w:unhideWhenUsed/>
    <w:pPr>
      <w:ind w:left="567"/>
      <w:spacing w:after="57"/>
    </w:pPr>
  </w:style>
  <w:style w:type="paragraph" w:styleId="960">
    <w:name w:val="toc 4"/>
    <w:basedOn w:val="765"/>
    <w:next w:val="765"/>
    <w:uiPriority w:val="39"/>
    <w:unhideWhenUsed/>
    <w:pPr>
      <w:ind w:left="850"/>
      <w:spacing w:after="57"/>
    </w:pPr>
  </w:style>
  <w:style w:type="paragraph" w:styleId="961">
    <w:name w:val="toc 5"/>
    <w:basedOn w:val="765"/>
    <w:next w:val="765"/>
    <w:uiPriority w:val="39"/>
    <w:unhideWhenUsed/>
    <w:pPr>
      <w:ind w:left="1134"/>
      <w:spacing w:after="57"/>
    </w:pPr>
  </w:style>
  <w:style w:type="paragraph" w:styleId="962">
    <w:name w:val="toc 6"/>
    <w:basedOn w:val="765"/>
    <w:next w:val="765"/>
    <w:uiPriority w:val="39"/>
    <w:unhideWhenUsed/>
    <w:pPr>
      <w:ind w:left="1417"/>
      <w:spacing w:after="57"/>
    </w:pPr>
  </w:style>
  <w:style w:type="paragraph" w:styleId="963">
    <w:name w:val="toc 7"/>
    <w:basedOn w:val="765"/>
    <w:next w:val="765"/>
    <w:uiPriority w:val="39"/>
    <w:unhideWhenUsed/>
    <w:pPr>
      <w:ind w:left="1701"/>
      <w:spacing w:after="57"/>
    </w:pPr>
  </w:style>
  <w:style w:type="paragraph" w:styleId="964">
    <w:name w:val="toc 8"/>
    <w:basedOn w:val="765"/>
    <w:next w:val="765"/>
    <w:uiPriority w:val="39"/>
    <w:unhideWhenUsed/>
    <w:pPr>
      <w:ind w:left="1984"/>
      <w:spacing w:after="57"/>
    </w:pPr>
  </w:style>
  <w:style w:type="paragraph" w:styleId="965">
    <w:name w:val="toc 9"/>
    <w:basedOn w:val="765"/>
    <w:next w:val="765"/>
    <w:uiPriority w:val="39"/>
    <w:unhideWhenUsed/>
    <w:pPr>
      <w:ind w:left="2268"/>
      <w:spacing w:after="57"/>
    </w:pPr>
  </w:style>
  <w:style w:type="paragraph" w:styleId="966">
    <w:name w:val="TOC Heading"/>
    <w:uiPriority w:val="39"/>
    <w:unhideWhenUsed/>
  </w:style>
  <w:style w:type="paragraph" w:styleId="967">
    <w:name w:val="table of figures"/>
    <w:basedOn w:val="765"/>
    <w:next w:val="765"/>
    <w:uiPriority w:val="99"/>
    <w:unhideWhenUsed/>
  </w:style>
  <w:style w:type="paragraph" w:styleId="968">
    <w:name w:val="Header"/>
    <w:basedOn w:val="765"/>
    <w:link w:val="96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69" w:customStyle="1">
    <w:name w:val="Верхний колонтитул Знак"/>
    <w:basedOn w:val="775"/>
    <w:link w:val="968"/>
    <w:uiPriority w:val="99"/>
  </w:style>
  <w:style w:type="paragraph" w:styleId="970">
    <w:name w:val="Footer"/>
    <w:basedOn w:val="765"/>
    <w:link w:val="9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1" w:customStyle="1">
    <w:name w:val="Нижний колонтитул Знак"/>
    <w:basedOn w:val="775"/>
    <w:link w:val="970"/>
    <w:uiPriority w:val="99"/>
  </w:style>
  <w:style w:type="paragraph" w:styleId="972" w:customStyle="1">
    <w:name w:val="ConsPlusTitle"/>
    <w:pPr>
      <w:widowControl w:val="off"/>
    </w:pPr>
    <w:rPr>
      <w:rFonts w:ascii="Arial" w:hAnsi="Arial" w:eastAsia="Times New Roman" w:cs="Arial"/>
      <w:b/>
      <w:bCs/>
    </w:rPr>
  </w:style>
  <w:style w:type="paragraph" w:styleId="973">
    <w:name w:val="Balloon Text"/>
    <w:basedOn w:val="765"/>
    <w:link w:val="974"/>
    <w:uiPriority w:val="99"/>
    <w:semiHidden/>
    <w:unhideWhenUsed/>
    <w:rPr>
      <w:rFonts w:ascii="Tahoma" w:hAnsi="Tahoma" w:cs="Tahoma"/>
      <w:sz w:val="16"/>
      <w:szCs w:val="16"/>
    </w:rPr>
  </w:style>
  <w:style w:type="character" w:styleId="974" w:customStyle="1">
    <w:name w:val="Текст выноски Знак"/>
    <w:link w:val="973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975" w:customStyle="1">
    <w:name w:val="Заголовок 1 Знак"/>
    <w:link w:val="766"/>
    <w:uiPriority w:val="9"/>
    <w:rPr>
      <w:rFonts w:ascii="Cambria" w:hAnsi="Cambria" w:eastAsia="Times New Roman"/>
      <w:b/>
      <w:bCs/>
      <w:sz w:val="32"/>
      <w:szCs w:val="32"/>
    </w:rPr>
  </w:style>
  <w:style w:type="character" w:styleId="976" w:customStyle="1">
    <w:name w:val="Заголовок 2 Знак"/>
    <w:link w:val="767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977" w:customStyle="1">
    <w:name w:val="Заголовок 3 Знак"/>
    <w:link w:val="768"/>
    <w:uiPriority w:val="9"/>
    <w:rPr>
      <w:rFonts w:ascii="Cambria" w:hAnsi="Cambria" w:eastAsia="Times New Roman"/>
      <w:b/>
      <w:bCs/>
      <w:sz w:val="26"/>
      <w:szCs w:val="26"/>
    </w:rPr>
  </w:style>
  <w:style w:type="paragraph" w:styleId="978">
    <w:name w:val="Body Text"/>
    <w:basedOn w:val="765"/>
    <w:link w:val="979"/>
    <w:uiPriority w:val="99"/>
    <w:pPr>
      <w:ind w:right="4109"/>
      <w:jc w:val="both"/>
    </w:pPr>
    <w:rPr>
      <w:rFonts w:eastAsia="Zhikaryov"/>
      <w:b/>
      <w:sz w:val="26"/>
    </w:rPr>
  </w:style>
  <w:style w:type="character" w:styleId="979" w:customStyle="1">
    <w:name w:val="Основной текст Знак"/>
    <w:link w:val="978"/>
    <w:uiPriority w:val="99"/>
    <w:rPr>
      <w:rFonts w:eastAsia="Zhikaryov"/>
      <w:b/>
      <w:sz w:val="26"/>
    </w:rPr>
  </w:style>
  <w:style w:type="paragraph" w:styleId="980">
    <w:name w:val="Body Text Indent"/>
    <w:basedOn w:val="765"/>
    <w:link w:val="981"/>
    <w:uiPriority w:val="99"/>
    <w:unhideWhenUsed/>
    <w:pPr>
      <w:ind w:left="283"/>
      <w:spacing w:after="12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981" w:customStyle="1">
    <w:name w:val="Основной текст с отступом Знак"/>
    <w:link w:val="980"/>
    <w:uiPriority w:val="99"/>
    <w:rPr>
      <w:rFonts w:ascii="Calibri" w:hAnsi="Calibri" w:eastAsia="Calibri"/>
      <w:sz w:val="22"/>
      <w:szCs w:val="22"/>
      <w:lang w:eastAsia="en-US"/>
    </w:rPr>
  </w:style>
  <w:style w:type="paragraph" w:styleId="982" w:customStyle="1">
    <w:name w:val="Всегда"/>
    <w:basedOn w:val="765"/>
    <w:uiPriority w:val="99"/>
    <w:pPr>
      <w:jc w:val="right"/>
    </w:pPr>
    <w:rPr>
      <w:b/>
      <w:sz w:val="28"/>
      <w:szCs w:val="28"/>
      <w:lang w:eastAsia="en-US"/>
    </w:rPr>
  </w:style>
  <w:style w:type="paragraph" w:styleId="983">
    <w:name w:val="List Paragraph"/>
    <w:basedOn w:val="765"/>
    <w:link w:val="1009"/>
    <w:uiPriority w:val="34"/>
    <w:qFormat/>
    <w:pPr>
      <w:contextualSpacing/>
      <w:ind w:left="720"/>
    </w:pPr>
    <w:rPr>
      <w:sz w:val="26"/>
    </w:rPr>
  </w:style>
  <w:style w:type="paragraph" w:styleId="984" w:customStyle="1">
    <w:name w:val="ConsPlusNormal"/>
    <w:link w:val="997"/>
    <w:pPr>
      <w:ind w:firstLine="720"/>
    </w:pPr>
    <w:rPr>
      <w:rFonts w:ascii="Arial" w:hAnsi="Arial" w:eastAsia="Times New Roman" w:cs="Arial"/>
    </w:rPr>
  </w:style>
  <w:style w:type="paragraph" w:styleId="985" w:customStyle="1">
    <w:name w:val="Абзац списка1"/>
    <w:basedOn w:val="765"/>
    <w:pPr>
      <w:ind w:left="720"/>
    </w:pPr>
    <w:rPr>
      <w:rFonts w:eastAsia="Calibri"/>
    </w:rPr>
  </w:style>
  <w:style w:type="paragraph" w:styleId="986" w:customStyle="1">
    <w:name w:val="Default"/>
    <w:rPr>
      <w:rFonts w:eastAsia="Times New Roman"/>
      <w:color w:val="000000"/>
      <w:sz w:val="24"/>
      <w:szCs w:val="24"/>
    </w:rPr>
  </w:style>
  <w:style w:type="paragraph" w:styleId="987">
    <w:name w:val="No Spacing"/>
    <w:uiPriority w:val="1"/>
    <w:qFormat/>
    <w:rPr>
      <w:rFonts w:eastAsia="Times New Roman"/>
      <w:sz w:val="26"/>
    </w:rPr>
  </w:style>
  <w:style w:type="paragraph" w:styleId="988">
    <w:name w:val="footnote text"/>
    <w:basedOn w:val="765"/>
    <w:link w:val="989"/>
    <w:uiPriority w:val="99"/>
    <w:unhideWhenUsed/>
  </w:style>
  <w:style w:type="character" w:styleId="989" w:customStyle="1">
    <w:name w:val="Текст сноски Знак"/>
    <w:link w:val="988"/>
    <w:uiPriority w:val="99"/>
    <w:rPr>
      <w:rFonts w:eastAsia="Times New Roman"/>
    </w:rPr>
  </w:style>
  <w:style w:type="character" w:styleId="990" w:customStyle="1">
    <w:name w:val="apple-converted-space"/>
  </w:style>
  <w:style w:type="paragraph" w:styleId="991">
    <w:name w:val="Normal (Web)"/>
    <w:basedOn w:val="765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92" w:customStyle="1">
    <w:name w:val="Основной текст 3 Знак"/>
    <w:link w:val="993"/>
    <w:uiPriority w:val="99"/>
    <w:semiHidden/>
    <w:rPr>
      <w:rFonts w:ascii="Calibri" w:hAnsi="Calibri" w:eastAsia="Times New Roman"/>
      <w:sz w:val="16"/>
      <w:szCs w:val="16"/>
    </w:rPr>
  </w:style>
  <w:style w:type="paragraph" w:styleId="993">
    <w:name w:val="Body Text 3"/>
    <w:basedOn w:val="765"/>
    <w:link w:val="992"/>
    <w:uiPriority w:val="99"/>
    <w:semiHidden/>
    <w:unhideWhenUsed/>
    <w:pPr>
      <w:spacing w:after="120" w:line="276" w:lineRule="auto"/>
    </w:pPr>
    <w:rPr>
      <w:rFonts w:ascii="Calibri" w:hAnsi="Calibri"/>
      <w:sz w:val="16"/>
      <w:szCs w:val="16"/>
    </w:rPr>
  </w:style>
  <w:style w:type="character" w:styleId="994" w:customStyle="1">
    <w:name w:val="Основной текст 3 Знак1"/>
    <w:uiPriority w:val="99"/>
    <w:semiHidden/>
    <w:rPr>
      <w:rFonts w:eastAsia="Times New Roman"/>
      <w:sz w:val="16"/>
      <w:szCs w:val="16"/>
    </w:rPr>
  </w:style>
  <w:style w:type="paragraph" w:styleId="995" w:customStyle="1">
    <w:name w:val="Знак Знак Знак Знак"/>
    <w:basedOn w:val="765"/>
    <w:rPr>
      <w:rFonts w:ascii="Verdana" w:hAnsi="Verdana" w:cs="Verdana"/>
      <w:lang w:val="en-US" w:eastAsia="en-US"/>
    </w:rPr>
  </w:style>
  <w:style w:type="character" w:styleId="996">
    <w:name w:val="FollowedHyperlink"/>
    <w:uiPriority w:val="99"/>
    <w:semiHidden/>
    <w:unhideWhenUsed/>
    <w:rPr>
      <w:color w:val="800080"/>
      <w:u w:val="single"/>
    </w:rPr>
  </w:style>
  <w:style w:type="character" w:styleId="997" w:customStyle="1">
    <w:name w:val="ConsPlusNormal Знак"/>
    <w:link w:val="984"/>
    <w:rPr>
      <w:rFonts w:ascii="Arial" w:hAnsi="Arial" w:eastAsia="Times New Roman" w:cs="Arial"/>
    </w:rPr>
  </w:style>
  <w:style w:type="character" w:styleId="998">
    <w:name w:val="annotation reference"/>
    <w:uiPriority w:val="99"/>
    <w:semiHidden/>
    <w:unhideWhenUsed/>
    <w:rPr>
      <w:sz w:val="16"/>
      <w:szCs w:val="16"/>
    </w:rPr>
  </w:style>
  <w:style w:type="paragraph" w:styleId="999">
    <w:name w:val="annotation text"/>
    <w:basedOn w:val="765"/>
    <w:link w:val="1000"/>
    <w:uiPriority w:val="99"/>
    <w:semiHidden/>
    <w:unhideWhenUsed/>
  </w:style>
  <w:style w:type="character" w:styleId="1000" w:customStyle="1">
    <w:name w:val="Текст примечания Знак"/>
    <w:link w:val="999"/>
    <w:uiPriority w:val="99"/>
    <w:semiHidden/>
    <w:rPr>
      <w:rFonts w:eastAsia="Times New Roman"/>
    </w:rPr>
  </w:style>
  <w:style w:type="paragraph" w:styleId="1001">
    <w:name w:val="annotation subject"/>
    <w:basedOn w:val="999"/>
    <w:next w:val="999"/>
    <w:link w:val="1002"/>
    <w:uiPriority w:val="99"/>
    <w:semiHidden/>
    <w:unhideWhenUsed/>
    <w:rPr>
      <w:b/>
      <w:bCs/>
    </w:rPr>
  </w:style>
  <w:style w:type="character" w:styleId="1002" w:customStyle="1">
    <w:name w:val="Тема примечания Знак"/>
    <w:link w:val="1001"/>
    <w:uiPriority w:val="99"/>
    <w:semiHidden/>
    <w:rPr>
      <w:rFonts w:eastAsia="Times New Roman"/>
      <w:b/>
      <w:bCs/>
    </w:rPr>
  </w:style>
  <w:style w:type="paragraph" w:styleId="1003">
    <w:name w:val="Revision"/>
    <w:hidden/>
    <w:uiPriority w:val="99"/>
    <w:semiHidden/>
    <w:rPr>
      <w:rFonts w:eastAsia="Times New Roman"/>
    </w:rPr>
  </w:style>
  <w:style w:type="paragraph" w:styleId="1004">
    <w:name w:val="Title"/>
    <w:basedOn w:val="765"/>
    <w:link w:val="1005"/>
    <w:qFormat/>
    <w:pPr>
      <w:jc w:val="center"/>
    </w:pPr>
    <w:rPr>
      <w:sz w:val="24"/>
    </w:rPr>
  </w:style>
  <w:style w:type="character" w:styleId="1005" w:customStyle="1">
    <w:name w:val="Название Знак"/>
    <w:link w:val="1004"/>
    <w:rPr>
      <w:rFonts w:eastAsia="Times New Roman"/>
      <w:sz w:val="24"/>
    </w:rPr>
  </w:style>
  <w:style w:type="character" w:styleId="1006">
    <w:name w:val="footnote reference"/>
    <w:uiPriority w:val="99"/>
    <w:semiHidden/>
    <w:unhideWhenUsed/>
    <w:rPr>
      <w:vertAlign w:val="superscript"/>
    </w:rPr>
  </w:style>
  <w:style w:type="table" w:styleId="1007">
    <w:name w:val="Table Grid"/>
    <w:basedOn w:val="77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8" w:customStyle="1">
    <w:name w:val="pboth"/>
    <w:basedOn w:val="765"/>
    <w:pPr>
      <w:spacing w:before="100" w:beforeAutospacing="1" w:after="100" w:afterAutospacing="1"/>
    </w:pPr>
    <w:rPr>
      <w:sz w:val="24"/>
      <w:szCs w:val="24"/>
    </w:rPr>
  </w:style>
  <w:style w:type="character" w:styleId="1009" w:customStyle="1">
    <w:name w:val="Абзац списка Знак"/>
    <w:link w:val="983"/>
    <w:uiPriority w:val="34"/>
    <w:qFormat/>
    <w:rPr>
      <w:rFonts w:eastAsia="Times New Roman"/>
      <w:sz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83A10-F99F-437D-AC2D-7FC23B9B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Караулова Наталья Владимировна</dc:creator>
  <cp:revision>4</cp:revision>
  <dcterms:created xsi:type="dcterms:W3CDTF">2025-10-14T11:40:00Z</dcterms:created>
  <dcterms:modified xsi:type="dcterms:W3CDTF">2025-10-15T06:43:23Z</dcterms:modified>
</cp:coreProperties>
</file>